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8753D" w14:textId="77777777" w:rsidR="00FA0479" w:rsidRPr="00643486" w:rsidRDefault="00FA0479" w:rsidP="0016315D">
      <w:pPr>
        <w:rPr>
          <w:rFonts w:ascii="Arial" w:hAnsi="Arial" w:cs="Arial"/>
          <w:color w:val="9BBB59" w:themeColor="accent3"/>
        </w:rPr>
      </w:pPr>
    </w:p>
    <w:tbl>
      <w:tblPr>
        <w:tblW w:w="10890"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30"/>
        <w:gridCol w:w="360"/>
      </w:tblGrid>
      <w:tr w:rsidR="00643486" w:rsidRPr="00643486" w14:paraId="74D3F7D4" w14:textId="77777777" w:rsidTr="008A0534">
        <w:trPr>
          <w:gridAfter w:val="1"/>
          <w:wAfter w:w="360" w:type="dxa"/>
          <w:trHeight w:val="360"/>
        </w:trPr>
        <w:tc>
          <w:tcPr>
            <w:tcW w:w="10530" w:type="dxa"/>
            <w:tcBorders>
              <w:top w:val="nil"/>
              <w:left w:val="nil"/>
              <w:bottom w:val="nil"/>
              <w:right w:val="nil"/>
            </w:tcBorders>
            <w:vAlign w:val="center"/>
          </w:tcPr>
          <w:p w14:paraId="2954CADB" w14:textId="77777777" w:rsidR="00854166" w:rsidRPr="00854166" w:rsidRDefault="00854166" w:rsidP="00854166">
            <w:pPr>
              <w:pStyle w:val="Heading1"/>
              <w:ind w:left="-90"/>
              <w:jc w:val="right"/>
              <w:rPr>
                <w:rFonts w:ascii="Times New Roman" w:hAnsi="Times New Roman"/>
                <w:color w:val="9BBB59" w:themeColor="accent3"/>
                <w:sz w:val="40"/>
                <w:szCs w:val="40"/>
              </w:rPr>
            </w:pPr>
          </w:p>
          <w:p w14:paraId="34F700A9" w14:textId="44C84EA3" w:rsidR="00854166" w:rsidRPr="00854166" w:rsidRDefault="00854166" w:rsidP="00854166">
            <w:pPr>
              <w:pStyle w:val="Heading1"/>
              <w:ind w:left="-90"/>
              <w:jc w:val="center"/>
              <w:rPr>
                <w:rFonts w:ascii="Times New Roman" w:hAnsi="Times New Roman"/>
                <w:color w:val="1B3C69"/>
                <w:sz w:val="40"/>
                <w:szCs w:val="40"/>
              </w:rPr>
            </w:pPr>
            <w:r w:rsidRPr="00854166">
              <w:rPr>
                <w:rFonts w:ascii="Times New Roman" w:hAnsi="Times New Roman"/>
                <w:color w:val="1B3C69"/>
                <w:sz w:val="40"/>
                <w:szCs w:val="40"/>
              </w:rPr>
              <w:t>EXHIBIT BOOTH REGULATIONS</w:t>
            </w:r>
          </w:p>
          <w:p w14:paraId="537D9962" w14:textId="14721A19" w:rsidR="00854166" w:rsidRPr="00854166" w:rsidRDefault="00854166" w:rsidP="00854166">
            <w:pPr>
              <w:rPr>
                <w:rFonts w:ascii="Times New Roman" w:hAnsi="Times New Roman"/>
              </w:rPr>
            </w:pPr>
          </w:p>
          <w:p w14:paraId="785FEE38" w14:textId="1342E2F1" w:rsidR="00854166" w:rsidRPr="00854166" w:rsidRDefault="00854166" w:rsidP="00854166">
            <w:pPr>
              <w:rPr>
                <w:rFonts w:ascii="Times New Roman" w:hAnsi="Times New Roman"/>
              </w:rPr>
            </w:pPr>
          </w:p>
          <w:p w14:paraId="0808F020" w14:textId="59F0B46B" w:rsidR="00854166" w:rsidRPr="00854166" w:rsidRDefault="00854166" w:rsidP="00854166">
            <w:pPr>
              <w:rPr>
                <w:rFonts w:ascii="Times New Roman" w:hAnsi="Times New Roman"/>
              </w:rPr>
            </w:pPr>
          </w:p>
          <w:p w14:paraId="024660F0" w14:textId="77777777" w:rsidR="00854166" w:rsidRPr="00854166" w:rsidRDefault="00854166" w:rsidP="00854166">
            <w:pPr>
              <w:rPr>
                <w:rFonts w:ascii="Times New Roman" w:hAnsi="Times New Roman"/>
              </w:rPr>
            </w:pPr>
          </w:p>
          <w:p w14:paraId="55568FB5" w14:textId="77777777" w:rsidR="003D7E91" w:rsidRPr="00854166" w:rsidRDefault="003D7E91" w:rsidP="00FA0479">
            <w:pPr>
              <w:pStyle w:val="Heading1"/>
              <w:spacing w:after="120"/>
              <w:rPr>
                <w:rFonts w:ascii="Times New Roman" w:hAnsi="Times New Roman"/>
                <w:color w:val="0075BE"/>
                <w:sz w:val="20"/>
              </w:rPr>
            </w:pPr>
            <w:r w:rsidRPr="00E105A7">
              <w:rPr>
                <w:rFonts w:ascii="Times New Roman" w:hAnsi="Times New Roman"/>
                <w:color w:val="0075BE"/>
                <w:sz w:val="20"/>
              </w:rPr>
              <w:t>BOOTH DEFINITIONS</w:t>
            </w:r>
          </w:p>
        </w:tc>
      </w:tr>
      <w:tr w:rsidR="003D7E91" w14:paraId="6908FEBD" w14:textId="77777777" w:rsidTr="008A0534">
        <w:trPr>
          <w:gridAfter w:val="1"/>
          <w:wAfter w:w="360" w:type="dxa"/>
          <w:trHeight w:val="360"/>
        </w:trPr>
        <w:tc>
          <w:tcPr>
            <w:tcW w:w="10530" w:type="dxa"/>
            <w:tcBorders>
              <w:top w:val="nil"/>
              <w:left w:val="nil"/>
              <w:bottom w:val="nil"/>
              <w:right w:val="nil"/>
            </w:tcBorders>
            <w:vAlign w:val="center"/>
          </w:tcPr>
          <w:p w14:paraId="02D7817F" w14:textId="7108B42C" w:rsidR="0016315D" w:rsidRPr="00854166" w:rsidRDefault="0016315D" w:rsidP="0016315D">
            <w:pPr>
              <w:pStyle w:val="BodyText"/>
              <w:rPr>
                <w:rFonts w:ascii="Times New Roman" w:hAnsi="Times New Roman"/>
                <w:color w:val="0075BE"/>
                <w:sz w:val="20"/>
              </w:rPr>
            </w:pPr>
            <w:r w:rsidRPr="00854166">
              <w:rPr>
                <w:rFonts w:ascii="Times New Roman" w:hAnsi="Times New Roman"/>
                <w:color w:val="0075BE"/>
                <w:sz w:val="20"/>
              </w:rPr>
              <w:t>Corner and In</w:t>
            </w:r>
            <w:r w:rsidR="00352044" w:rsidRPr="00854166">
              <w:rPr>
                <w:rFonts w:ascii="Times New Roman" w:hAnsi="Times New Roman"/>
                <w:color w:val="0075BE"/>
                <w:sz w:val="20"/>
              </w:rPr>
              <w:t>l</w:t>
            </w:r>
            <w:r w:rsidRPr="00854166">
              <w:rPr>
                <w:rFonts w:ascii="Times New Roman" w:hAnsi="Times New Roman"/>
                <w:color w:val="0075BE"/>
                <w:sz w:val="20"/>
              </w:rPr>
              <w:t>ine Booths</w:t>
            </w:r>
            <w:r w:rsidR="00BA60D6" w:rsidRPr="00854166">
              <w:rPr>
                <w:rFonts w:ascii="Times New Roman" w:hAnsi="Times New Roman"/>
                <w:color w:val="0075BE"/>
                <w:sz w:val="20"/>
              </w:rPr>
              <w:t xml:space="preserve"> (Linear Booths)</w:t>
            </w:r>
            <w:r w:rsidRPr="00854166">
              <w:rPr>
                <w:rFonts w:ascii="Times New Roman" w:hAnsi="Times New Roman"/>
                <w:color w:val="0075BE"/>
                <w:sz w:val="20"/>
              </w:rPr>
              <w:t>:</w:t>
            </w:r>
          </w:p>
          <w:p w14:paraId="208F93D2" w14:textId="7F015437" w:rsidR="0016315D" w:rsidRPr="00854166" w:rsidRDefault="0016315D" w:rsidP="0016315D">
            <w:pPr>
              <w:rPr>
                <w:rFonts w:ascii="Times New Roman" w:hAnsi="Times New Roman"/>
                <w:sz w:val="22"/>
                <w:szCs w:val="22"/>
              </w:rPr>
            </w:pPr>
            <w:r w:rsidRPr="00854166">
              <w:rPr>
                <w:rFonts w:ascii="Times New Roman" w:hAnsi="Times New Roman"/>
                <w:sz w:val="22"/>
                <w:szCs w:val="22"/>
              </w:rPr>
              <w:t>Corner booths have at least one neighbor and are adjacent to an aisle or located at the end of an aisle or row of booths.  In</w:t>
            </w:r>
            <w:r w:rsidR="00352044" w:rsidRPr="00854166">
              <w:rPr>
                <w:rFonts w:ascii="Times New Roman" w:hAnsi="Times New Roman"/>
                <w:sz w:val="22"/>
                <w:szCs w:val="22"/>
              </w:rPr>
              <w:t>l</w:t>
            </w:r>
            <w:r w:rsidRPr="00854166">
              <w:rPr>
                <w:rFonts w:ascii="Times New Roman" w:hAnsi="Times New Roman"/>
                <w:sz w:val="22"/>
                <w:szCs w:val="22"/>
              </w:rPr>
              <w:t>ine booths</w:t>
            </w:r>
            <w:r w:rsidR="00BA60D6" w:rsidRPr="00854166">
              <w:rPr>
                <w:rFonts w:ascii="Times New Roman" w:hAnsi="Times New Roman"/>
                <w:sz w:val="22"/>
                <w:szCs w:val="22"/>
              </w:rPr>
              <w:t xml:space="preserve"> (linear)</w:t>
            </w:r>
            <w:r w:rsidRPr="00854166">
              <w:rPr>
                <w:rFonts w:ascii="Times New Roman" w:hAnsi="Times New Roman"/>
                <w:sz w:val="22"/>
                <w:szCs w:val="22"/>
              </w:rPr>
              <w:t xml:space="preserve"> have one neighbor on either side of booth.</w:t>
            </w:r>
          </w:p>
          <w:p w14:paraId="3F2698FD" w14:textId="77777777" w:rsidR="0016315D" w:rsidRPr="00854166" w:rsidRDefault="0016315D" w:rsidP="0016315D">
            <w:pPr>
              <w:rPr>
                <w:rFonts w:ascii="Times New Roman" w:hAnsi="Times New Roman"/>
                <w:b/>
                <w:sz w:val="22"/>
                <w:szCs w:val="22"/>
              </w:rPr>
            </w:pPr>
          </w:p>
          <w:p w14:paraId="46C7E725" w14:textId="77777777" w:rsidR="0016315D" w:rsidRPr="00854166" w:rsidRDefault="0016315D" w:rsidP="0016315D">
            <w:pPr>
              <w:rPr>
                <w:rFonts w:ascii="Times New Roman" w:hAnsi="Times New Roman"/>
                <w:sz w:val="22"/>
                <w:szCs w:val="22"/>
              </w:rPr>
            </w:pPr>
            <w:r w:rsidRPr="00854166">
              <w:rPr>
                <w:rFonts w:ascii="Times New Roman" w:hAnsi="Times New Roman"/>
                <w:b/>
                <w:sz w:val="22"/>
                <w:szCs w:val="22"/>
              </w:rPr>
              <w:t>Signage:</w:t>
            </w:r>
            <w:r w:rsidRPr="00854166">
              <w:rPr>
                <w:rFonts w:ascii="Times New Roman" w:hAnsi="Times New Roman"/>
                <w:sz w:val="22"/>
                <w:szCs w:val="22"/>
              </w:rPr>
              <w:t xml:space="preserve"> </w:t>
            </w:r>
            <w:r w:rsidRPr="00854166">
              <w:rPr>
                <w:rFonts w:ascii="Times New Roman" w:hAnsi="Times New Roman"/>
                <w:b/>
                <w:sz w:val="22"/>
                <w:szCs w:val="22"/>
              </w:rPr>
              <w:t>Booth signage may not exceed 8’ in overall height</w:t>
            </w:r>
            <w:r w:rsidRPr="00854166">
              <w:rPr>
                <w:rFonts w:ascii="Times New Roman" w:hAnsi="Times New Roman"/>
                <w:sz w:val="22"/>
                <w:szCs w:val="22"/>
              </w:rPr>
              <w:t>.  No hanging signage from ceiling. Exhibitors will not be allowed to project images onto aisles, ceilings, walls or any space or location outside the Exhibitor’s purchased booth space.</w:t>
            </w:r>
          </w:p>
          <w:p w14:paraId="7DFB49FC" w14:textId="77777777" w:rsidR="0016315D" w:rsidRPr="00854166" w:rsidRDefault="0016315D" w:rsidP="0016315D">
            <w:pPr>
              <w:rPr>
                <w:rFonts w:ascii="Times New Roman" w:hAnsi="Times New Roman"/>
                <w:sz w:val="22"/>
                <w:szCs w:val="22"/>
              </w:rPr>
            </w:pPr>
          </w:p>
          <w:p w14:paraId="2C5236B1" w14:textId="42983648" w:rsidR="0016315D" w:rsidRPr="00854166" w:rsidRDefault="0016315D" w:rsidP="0016315D">
            <w:pPr>
              <w:rPr>
                <w:rFonts w:ascii="Times New Roman" w:hAnsi="Times New Roman"/>
                <w:sz w:val="22"/>
                <w:szCs w:val="22"/>
              </w:rPr>
            </w:pPr>
            <w:r w:rsidRPr="00854166">
              <w:rPr>
                <w:rFonts w:ascii="Times New Roman" w:hAnsi="Times New Roman"/>
                <w:bCs/>
                <w:sz w:val="22"/>
                <w:szCs w:val="22"/>
              </w:rPr>
              <w:t>Standard 10’x</w:t>
            </w:r>
            <w:r w:rsidR="00352044" w:rsidRPr="00854166">
              <w:rPr>
                <w:rFonts w:ascii="Times New Roman" w:hAnsi="Times New Roman"/>
                <w:bCs/>
                <w:sz w:val="22"/>
                <w:szCs w:val="22"/>
              </w:rPr>
              <w:t xml:space="preserve"> </w:t>
            </w:r>
            <w:r w:rsidRPr="00854166">
              <w:rPr>
                <w:rFonts w:ascii="Times New Roman" w:hAnsi="Times New Roman"/>
                <w:bCs/>
                <w:sz w:val="22"/>
                <w:szCs w:val="22"/>
              </w:rPr>
              <w:t xml:space="preserve">10’ </w:t>
            </w:r>
            <w:r w:rsidR="00BA60D6" w:rsidRPr="00854166">
              <w:rPr>
                <w:rFonts w:ascii="Times New Roman" w:hAnsi="Times New Roman"/>
                <w:bCs/>
                <w:sz w:val="22"/>
                <w:szCs w:val="22"/>
              </w:rPr>
              <w:t>inline</w:t>
            </w:r>
            <w:r w:rsidRPr="00854166">
              <w:rPr>
                <w:rFonts w:ascii="Times New Roman" w:hAnsi="Times New Roman"/>
                <w:bCs/>
                <w:sz w:val="22"/>
                <w:szCs w:val="22"/>
              </w:rPr>
              <w:t xml:space="preserve"> booths will be provided</w:t>
            </w:r>
            <w:r w:rsidRPr="00854166">
              <w:rPr>
                <w:rFonts w:ascii="Times New Roman" w:hAnsi="Times New Roman"/>
                <w:sz w:val="22"/>
                <w:szCs w:val="22"/>
              </w:rPr>
              <w:t xml:space="preserve"> back drape and side drape which must be utilized.  No exhibit construction or signage may exceed 8’ in overall height on </w:t>
            </w:r>
            <w:r w:rsidR="00BA60D6" w:rsidRPr="00854166">
              <w:rPr>
                <w:rFonts w:ascii="Times New Roman" w:hAnsi="Times New Roman"/>
                <w:sz w:val="22"/>
                <w:szCs w:val="22"/>
              </w:rPr>
              <w:t>inline</w:t>
            </w:r>
            <w:r w:rsidRPr="00854166">
              <w:rPr>
                <w:rFonts w:ascii="Times New Roman" w:hAnsi="Times New Roman"/>
                <w:sz w:val="22"/>
                <w:szCs w:val="22"/>
              </w:rPr>
              <w:t xml:space="preserve"> booths.  </w:t>
            </w:r>
            <w:r w:rsidRPr="00854166">
              <w:rPr>
                <w:rFonts w:ascii="Times New Roman" w:hAnsi="Times New Roman"/>
                <w:b/>
                <w:sz w:val="22"/>
                <w:szCs w:val="22"/>
              </w:rPr>
              <w:t>If sidewalls are utilized on inline booths, a maximum height of 8’ is permitted on the back 5’ section and a maximum height of 4’ is permitted on the front 5’ section.</w:t>
            </w:r>
            <w:r w:rsidRPr="00854166">
              <w:rPr>
                <w:rFonts w:ascii="Times New Roman" w:hAnsi="Times New Roman"/>
                <w:sz w:val="22"/>
                <w:szCs w:val="22"/>
              </w:rPr>
              <w:t xml:space="preserve">  Exhibit construction and/or signage may not exceed 8’ in overall height.  These restrictions apply to any booth configuration that is inline and not an island.</w:t>
            </w:r>
          </w:p>
        </w:tc>
      </w:tr>
      <w:tr w:rsidR="0016315D" w14:paraId="4D8B1AFF" w14:textId="77777777" w:rsidTr="008A0534">
        <w:trPr>
          <w:gridAfter w:val="1"/>
          <w:wAfter w:w="360" w:type="dxa"/>
          <w:trHeight w:val="360"/>
        </w:trPr>
        <w:tc>
          <w:tcPr>
            <w:tcW w:w="10530" w:type="dxa"/>
            <w:tcBorders>
              <w:top w:val="nil"/>
              <w:left w:val="nil"/>
              <w:bottom w:val="nil"/>
              <w:right w:val="nil"/>
            </w:tcBorders>
            <w:vAlign w:val="center"/>
          </w:tcPr>
          <w:p w14:paraId="19217BB8" w14:textId="77777777" w:rsidR="0016315D" w:rsidRPr="00FA0479" w:rsidRDefault="0016315D" w:rsidP="003D7E91">
            <w:pPr>
              <w:pStyle w:val="Heading2"/>
              <w:rPr>
                <w:rFonts w:cs="Arial"/>
                <w:szCs w:val="22"/>
              </w:rPr>
            </w:pPr>
          </w:p>
          <w:p w14:paraId="3493FA44" w14:textId="77777777" w:rsidR="0016315D" w:rsidRPr="00052B02" w:rsidRDefault="0016315D" w:rsidP="0016315D">
            <w:pPr>
              <w:pStyle w:val="BodyText"/>
              <w:rPr>
                <w:rFonts w:ascii="Arial Black" w:hAnsi="Arial Black" w:cs="Arial"/>
                <w:color w:val="0075BE"/>
                <w:sz w:val="20"/>
              </w:rPr>
            </w:pPr>
            <w:r w:rsidRPr="00052B02">
              <w:rPr>
                <w:rFonts w:ascii="Arial Black" w:hAnsi="Arial Black" w:cs="Arial"/>
                <w:color w:val="0075BE"/>
                <w:sz w:val="20"/>
              </w:rPr>
              <w:t>Perimeter Booths:</w:t>
            </w:r>
          </w:p>
          <w:p w14:paraId="2BF4D3ED" w14:textId="77777777" w:rsidR="0016315D" w:rsidRPr="00052B02" w:rsidRDefault="0016315D" w:rsidP="0016315D">
            <w:pPr>
              <w:rPr>
                <w:rFonts w:asciiTheme="minorHAnsi" w:hAnsiTheme="minorHAnsi" w:cs="Arial"/>
                <w:sz w:val="22"/>
                <w:szCs w:val="22"/>
              </w:rPr>
            </w:pPr>
            <w:r w:rsidRPr="00052B02">
              <w:rPr>
                <w:rFonts w:asciiTheme="minorHAnsi" w:hAnsiTheme="minorHAnsi" w:cs="Arial"/>
                <w:sz w:val="22"/>
                <w:szCs w:val="22"/>
              </w:rPr>
              <w:t>Same as above and located on the perimeter (against a wall, etc.) of the exhibit floor.</w:t>
            </w:r>
          </w:p>
          <w:p w14:paraId="6A73010A" w14:textId="77777777" w:rsidR="00FA0479" w:rsidRPr="00052B02" w:rsidRDefault="00FA0479" w:rsidP="0016315D">
            <w:pPr>
              <w:rPr>
                <w:rFonts w:asciiTheme="minorHAnsi" w:hAnsiTheme="minorHAnsi" w:cs="Arial"/>
                <w:b/>
                <w:sz w:val="22"/>
                <w:szCs w:val="22"/>
              </w:rPr>
            </w:pPr>
          </w:p>
          <w:p w14:paraId="58FBC395" w14:textId="77777777" w:rsidR="0016315D" w:rsidRPr="00FA0479" w:rsidRDefault="0016315D" w:rsidP="0016315D">
            <w:pPr>
              <w:rPr>
                <w:rFonts w:ascii="Arial" w:hAnsi="Arial" w:cs="Arial"/>
                <w:sz w:val="22"/>
                <w:szCs w:val="22"/>
              </w:rPr>
            </w:pPr>
            <w:r w:rsidRPr="00052B02">
              <w:rPr>
                <w:rFonts w:asciiTheme="minorHAnsi" w:hAnsiTheme="minorHAnsi" w:cs="Arial"/>
                <w:b/>
                <w:sz w:val="22"/>
                <w:szCs w:val="22"/>
              </w:rPr>
              <w:t>Signage:</w:t>
            </w:r>
            <w:r w:rsidRPr="00052B02">
              <w:rPr>
                <w:rFonts w:asciiTheme="minorHAnsi" w:hAnsiTheme="minorHAnsi" w:cs="Arial"/>
                <w:sz w:val="22"/>
                <w:szCs w:val="22"/>
              </w:rPr>
              <w:t xml:space="preserve"> No hanging signage from ceiling.  </w:t>
            </w:r>
            <w:r w:rsidRPr="00052B02">
              <w:rPr>
                <w:rFonts w:asciiTheme="minorHAnsi" w:hAnsiTheme="minorHAnsi" w:cs="Arial"/>
                <w:b/>
                <w:sz w:val="22"/>
                <w:szCs w:val="22"/>
              </w:rPr>
              <w:t>Booth signage may not exceed 12’ in overall height</w:t>
            </w:r>
            <w:r w:rsidRPr="00052B02">
              <w:rPr>
                <w:rFonts w:asciiTheme="minorHAnsi" w:hAnsiTheme="minorHAnsi" w:cs="Arial"/>
                <w:sz w:val="22"/>
                <w:szCs w:val="22"/>
              </w:rPr>
              <w:t>.</w:t>
            </w:r>
            <w:r w:rsidRPr="00052B02">
              <w:rPr>
                <w:rFonts w:asciiTheme="minorHAnsi" w:hAnsiTheme="minorHAnsi" w:cs="Arial"/>
                <w:b/>
                <w:sz w:val="22"/>
                <w:szCs w:val="22"/>
              </w:rPr>
              <w:t xml:space="preserve"> </w:t>
            </w:r>
            <w:r w:rsidRPr="00052B02">
              <w:rPr>
                <w:rFonts w:asciiTheme="minorHAnsi" w:hAnsiTheme="minorHAnsi" w:cs="Arial"/>
                <w:sz w:val="22"/>
                <w:szCs w:val="22"/>
              </w:rPr>
              <w:t xml:space="preserve"> Exhibitors will not be allowed to project images onto aisles, ceilings, </w:t>
            </w:r>
            <w:proofErr w:type="gramStart"/>
            <w:r w:rsidRPr="00052B02">
              <w:rPr>
                <w:rFonts w:asciiTheme="minorHAnsi" w:hAnsiTheme="minorHAnsi" w:cs="Arial"/>
                <w:sz w:val="22"/>
                <w:szCs w:val="22"/>
              </w:rPr>
              <w:t>walls</w:t>
            </w:r>
            <w:proofErr w:type="gramEnd"/>
            <w:r w:rsidRPr="00052B02">
              <w:rPr>
                <w:rFonts w:asciiTheme="minorHAnsi" w:hAnsiTheme="minorHAnsi" w:cs="Arial"/>
                <w:sz w:val="22"/>
                <w:szCs w:val="22"/>
              </w:rPr>
              <w:t xml:space="preserve"> or any other space outside the Exhibitor’s purchased booth space.</w:t>
            </w:r>
          </w:p>
        </w:tc>
      </w:tr>
      <w:tr w:rsidR="0016315D" w14:paraId="3C742719" w14:textId="77777777" w:rsidTr="008A0534">
        <w:trPr>
          <w:gridAfter w:val="1"/>
          <w:wAfter w:w="360" w:type="dxa"/>
          <w:trHeight w:val="360"/>
        </w:trPr>
        <w:tc>
          <w:tcPr>
            <w:tcW w:w="10530" w:type="dxa"/>
            <w:tcBorders>
              <w:top w:val="nil"/>
              <w:left w:val="nil"/>
              <w:bottom w:val="nil"/>
              <w:right w:val="nil"/>
            </w:tcBorders>
            <w:vAlign w:val="center"/>
          </w:tcPr>
          <w:p w14:paraId="6C9789BE" w14:textId="77777777" w:rsidR="0016315D" w:rsidRPr="00FA0479" w:rsidRDefault="0016315D" w:rsidP="003D7E91">
            <w:pPr>
              <w:pStyle w:val="Heading2"/>
              <w:rPr>
                <w:rFonts w:cs="Arial"/>
                <w:szCs w:val="22"/>
              </w:rPr>
            </w:pPr>
          </w:p>
          <w:p w14:paraId="0C8C2773" w14:textId="77777777" w:rsidR="0016315D" w:rsidRPr="00052B02" w:rsidRDefault="0016315D" w:rsidP="0016315D">
            <w:pPr>
              <w:pStyle w:val="BodyText"/>
              <w:rPr>
                <w:rFonts w:ascii="Arial Black" w:hAnsi="Arial Black" w:cs="Arial"/>
                <w:color w:val="0075BE"/>
                <w:sz w:val="20"/>
              </w:rPr>
            </w:pPr>
            <w:r w:rsidRPr="00052B02">
              <w:rPr>
                <w:rFonts w:ascii="Arial Black" w:hAnsi="Arial Black" w:cs="Arial"/>
                <w:color w:val="0075BE"/>
                <w:sz w:val="20"/>
              </w:rPr>
              <w:t>Island Booths:</w:t>
            </w:r>
          </w:p>
          <w:p w14:paraId="77D23021" w14:textId="77777777" w:rsidR="0016315D" w:rsidRPr="00052B02" w:rsidRDefault="0016315D" w:rsidP="0016315D">
            <w:pPr>
              <w:rPr>
                <w:rFonts w:asciiTheme="minorHAnsi" w:hAnsiTheme="minorHAnsi" w:cs="Arial"/>
                <w:sz w:val="22"/>
                <w:szCs w:val="22"/>
              </w:rPr>
            </w:pPr>
            <w:r w:rsidRPr="00052B02">
              <w:rPr>
                <w:rFonts w:asciiTheme="minorHAnsi" w:hAnsiTheme="minorHAnsi" w:cs="Arial"/>
                <w:sz w:val="22"/>
                <w:szCs w:val="22"/>
              </w:rPr>
              <w:t>Exhibit booth with an aisle on all sides of the booth with no adjacent neighbor.</w:t>
            </w:r>
          </w:p>
          <w:p w14:paraId="558D5B85" w14:textId="77777777" w:rsidR="00FA0479" w:rsidRPr="00052B02" w:rsidRDefault="00FA0479" w:rsidP="0016315D">
            <w:pPr>
              <w:rPr>
                <w:rFonts w:asciiTheme="minorHAnsi" w:hAnsiTheme="minorHAnsi" w:cs="Arial"/>
                <w:b/>
                <w:sz w:val="22"/>
                <w:szCs w:val="22"/>
              </w:rPr>
            </w:pPr>
          </w:p>
          <w:p w14:paraId="2AFCEF22" w14:textId="77777777" w:rsidR="0016315D" w:rsidRPr="00052B02" w:rsidRDefault="0016315D" w:rsidP="0016315D">
            <w:pPr>
              <w:rPr>
                <w:rFonts w:asciiTheme="minorHAnsi" w:hAnsiTheme="minorHAnsi" w:cs="Arial"/>
                <w:sz w:val="22"/>
                <w:szCs w:val="22"/>
              </w:rPr>
            </w:pPr>
            <w:r w:rsidRPr="00052B02">
              <w:rPr>
                <w:rFonts w:asciiTheme="minorHAnsi" w:hAnsiTheme="minorHAnsi" w:cs="Arial"/>
                <w:b/>
                <w:sz w:val="22"/>
                <w:szCs w:val="22"/>
              </w:rPr>
              <w:t>Signage:</w:t>
            </w:r>
            <w:r w:rsidRPr="00052B02">
              <w:rPr>
                <w:rFonts w:asciiTheme="minorHAnsi" w:hAnsiTheme="minorHAnsi" w:cs="Arial"/>
                <w:sz w:val="22"/>
                <w:szCs w:val="22"/>
              </w:rPr>
              <w:t xml:space="preserve"> Hanging signage from ceiling is acceptable</w:t>
            </w:r>
            <w:r w:rsidRPr="00052B02">
              <w:rPr>
                <w:rFonts w:asciiTheme="minorHAnsi" w:hAnsiTheme="minorHAnsi" w:cs="Arial"/>
                <w:b/>
                <w:sz w:val="22"/>
                <w:szCs w:val="22"/>
              </w:rPr>
              <w:t>.  For exhibitors in island booths, the top of signage may not exceed 20’ from overall height</w:t>
            </w:r>
            <w:r w:rsidRPr="00052B02">
              <w:rPr>
                <w:rFonts w:asciiTheme="minorHAnsi" w:hAnsiTheme="minorHAnsi" w:cs="Arial"/>
                <w:sz w:val="22"/>
                <w:szCs w:val="22"/>
              </w:rPr>
              <w:t xml:space="preserve">.  Exhibitors will not be allowed to project images onto aisles, ceilings, </w:t>
            </w:r>
            <w:proofErr w:type="gramStart"/>
            <w:r w:rsidRPr="00052B02">
              <w:rPr>
                <w:rFonts w:asciiTheme="minorHAnsi" w:hAnsiTheme="minorHAnsi" w:cs="Arial"/>
                <w:sz w:val="22"/>
                <w:szCs w:val="22"/>
              </w:rPr>
              <w:t>walls</w:t>
            </w:r>
            <w:proofErr w:type="gramEnd"/>
            <w:r w:rsidRPr="00052B02">
              <w:rPr>
                <w:rFonts w:asciiTheme="minorHAnsi" w:hAnsiTheme="minorHAnsi" w:cs="Arial"/>
                <w:sz w:val="22"/>
                <w:szCs w:val="22"/>
              </w:rPr>
              <w:t xml:space="preserve"> or any other space outside the Exhibitor’s purchased booth space.</w:t>
            </w:r>
          </w:p>
          <w:p w14:paraId="446EC1D2" w14:textId="77777777" w:rsidR="0016315D" w:rsidRPr="00052B02" w:rsidRDefault="0016315D" w:rsidP="0016315D">
            <w:pPr>
              <w:rPr>
                <w:rFonts w:asciiTheme="minorHAnsi" w:hAnsiTheme="minorHAnsi" w:cs="Arial"/>
                <w:sz w:val="22"/>
                <w:szCs w:val="22"/>
              </w:rPr>
            </w:pPr>
          </w:p>
          <w:p w14:paraId="680E604A" w14:textId="77777777" w:rsidR="0016315D" w:rsidRPr="00052B02" w:rsidRDefault="0016315D" w:rsidP="0016315D">
            <w:pPr>
              <w:rPr>
                <w:rFonts w:asciiTheme="minorHAnsi" w:hAnsiTheme="minorHAnsi" w:cs="Arial"/>
                <w:sz w:val="22"/>
                <w:szCs w:val="22"/>
              </w:rPr>
            </w:pPr>
            <w:r w:rsidRPr="00052B02">
              <w:rPr>
                <w:rFonts w:asciiTheme="minorHAnsi" w:hAnsiTheme="minorHAnsi" w:cs="Arial"/>
                <w:sz w:val="22"/>
                <w:szCs w:val="22"/>
              </w:rPr>
              <w:t xml:space="preserve">On island booths, no exhibit construction, product or signage may exceed 20’ in overall height.  Exhibitors are permitted to use the entire span of an island booth for display construction, signage and product, </w:t>
            </w:r>
            <w:r w:rsidRPr="00052B02">
              <w:rPr>
                <w:rFonts w:asciiTheme="minorHAnsi" w:hAnsiTheme="minorHAnsi" w:cs="Arial"/>
                <w:b/>
                <w:sz w:val="22"/>
                <w:szCs w:val="22"/>
              </w:rPr>
              <w:t>as long as no component exceeds 20’ in height</w:t>
            </w:r>
            <w:r w:rsidRPr="00052B02">
              <w:rPr>
                <w:rFonts w:asciiTheme="minorHAnsi" w:hAnsiTheme="minorHAnsi" w:cs="Arial"/>
                <w:sz w:val="22"/>
                <w:szCs w:val="22"/>
              </w:rPr>
              <w:t xml:space="preserve">.  Please review fire regulations for multi-level or covered exhibits.  No helium balloons or flying objects of any type will be allowed in the exhibit hall.  Exhibitors will not be allowed to project images onto aisles, ceilings, </w:t>
            </w:r>
            <w:proofErr w:type="gramStart"/>
            <w:r w:rsidRPr="00052B02">
              <w:rPr>
                <w:rFonts w:asciiTheme="minorHAnsi" w:hAnsiTheme="minorHAnsi" w:cs="Arial"/>
                <w:sz w:val="22"/>
                <w:szCs w:val="22"/>
              </w:rPr>
              <w:t>walls</w:t>
            </w:r>
            <w:proofErr w:type="gramEnd"/>
            <w:r w:rsidRPr="00052B02">
              <w:rPr>
                <w:rFonts w:asciiTheme="minorHAnsi" w:hAnsiTheme="minorHAnsi" w:cs="Arial"/>
                <w:sz w:val="22"/>
                <w:szCs w:val="22"/>
              </w:rPr>
              <w:t xml:space="preserve"> or any other space outside Exhibitor’s purchased booth space.</w:t>
            </w:r>
          </w:p>
          <w:p w14:paraId="0A90F045" w14:textId="77777777" w:rsidR="0016315D" w:rsidRPr="00052B02" w:rsidRDefault="0016315D" w:rsidP="0016315D">
            <w:pPr>
              <w:rPr>
                <w:rFonts w:asciiTheme="minorHAnsi" w:hAnsiTheme="minorHAnsi" w:cs="Arial"/>
                <w:sz w:val="22"/>
                <w:szCs w:val="22"/>
              </w:rPr>
            </w:pPr>
          </w:p>
          <w:p w14:paraId="755E446E" w14:textId="77777777" w:rsidR="0016315D" w:rsidRPr="00FA0479" w:rsidRDefault="0016315D" w:rsidP="0016315D">
            <w:pPr>
              <w:pStyle w:val="BodyText3"/>
              <w:rPr>
                <w:rFonts w:cs="Arial"/>
                <w:sz w:val="22"/>
                <w:szCs w:val="22"/>
              </w:rPr>
            </w:pPr>
            <w:r w:rsidRPr="00052B02">
              <w:rPr>
                <w:rFonts w:asciiTheme="minorHAnsi" w:hAnsiTheme="minorHAnsi" w:cs="Arial"/>
                <w:sz w:val="22"/>
                <w:szCs w:val="22"/>
              </w:rPr>
              <w:t>All island booths, with constructed booth configurations that contain an unfinished backside, are subject to review by Show Management.  Should Show Management deem the backside of the booth “unsightly” and/or does not conform with the overall quality of the show, Exhibitor may be required to drape the backside of booth at Exhibitor’s expense.</w:t>
            </w:r>
          </w:p>
        </w:tc>
      </w:tr>
      <w:tr w:rsidR="0016315D" w14:paraId="36B112D3" w14:textId="77777777" w:rsidTr="008A0534">
        <w:trPr>
          <w:gridAfter w:val="1"/>
          <w:wAfter w:w="360" w:type="dxa"/>
          <w:trHeight w:val="360"/>
        </w:trPr>
        <w:tc>
          <w:tcPr>
            <w:tcW w:w="10530" w:type="dxa"/>
            <w:tcBorders>
              <w:top w:val="nil"/>
              <w:left w:val="nil"/>
              <w:bottom w:val="single" w:sz="4" w:space="0" w:color="auto"/>
              <w:right w:val="nil"/>
            </w:tcBorders>
            <w:vAlign w:val="center"/>
          </w:tcPr>
          <w:p w14:paraId="4F0CBCBA" w14:textId="77777777" w:rsidR="0016315D" w:rsidRPr="009866B0" w:rsidRDefault="0016315D" w:rsidP="0016315D">
            <w:pPr>
              <w:rPr>
                <w:rFonts w:ascii="Univers 55" w:hAnsi="Univers 55"/>
                <w:sz w:val="22"/>
                <w:szCs w:val="22"/>
              </w:rPr>
            </w:pPr>
          </w:p>
        </w:tc>
      </w:tr>
      <w:tr w:rsidR="0016315D" w14:paraId="5C1D8F78" w14:textId="77777777" w:rsidTr="00052B02">
        <w:trPr>
          <w:gridAfter w:val="1"/>
          <w:wAfter w:w="360" w:type="dxa"/>
          <w:trHeight w:val="360"/>
        </w:trPr>
        <w:tc>
          <w:tcPr>
            <w:tcW w:w="10530" w:type="dxa"/>
            <w:tcBorders>
              <w:top w:val="single" w:sz="4" w:space="0" w:color="auto"/>
              <w:left w:val="single" w:sz="4" w:space="0" w:color="auto"/>
              <w:bottom w:val="single" w:sz="4" w:space="0" w:color="auto"/>
              <w:right w:val="single" w:sz="4" w:space="0" w:color="auto"/>
            </w:tcBorders>
            <w:shd w:val="clear" w:color="auto" w:fill="auto"/>
            <w:vAlign w:val="center"/>
          </w:tcPr>
          <w:p w14:paraId="63C372F2" w14:textId="220329B2" w:rsidR="0016315D" w:rsidRPr="00854166" w:rsidRDefault="00854166" w:rsidP="00854166">
            <w:pPr>
              <w:pStyle w:val="BodyText2"/>
              <w:pBdr>
                <w:top w:val="none" w:sz="0" w:space="0" w:color="auto"/>
                <w:left w:val="none" w:sz="0" w:space="0" w:color="auto"/>
                <w:bottom w:val="none" w:sz="0" w:space="0" w:color="auto"/>
                <w:right w:val="none" w:sz="0" w:space="0" w:color="auto"/>
              </w:pBdr>
              <w:spacing w:before="120"/>
              <w:jc w:val="left"/>
              <w:rPr>
                <w:rFonts w:ascii="Univers 55" w:hAnsi="Univers 55"/>
                <w:color w:val="1F497D" w:themeColor="text2"/>
                <w:sz w:val="22"/>
                <w:szCs w:val="22"/>
              </w:rPr>
            </w:pPr>
            <w:r>
              <w:rPr>
                <w:rFonts w:ascii="Univers 55" w:hAnsi="Univers 55"/>
                <w:color w:val="1F497D" w:themeColor="text2"/>
                <w:sz w:val="22"/>
                <w:szCs w:val="22"/>
              </w:rPr>
              <w:t xml:space="preserve">                                 </w:t>
            </w:r>
            <w:r w:rsidR="0016315D" w:rsidRPr="00643486">
              <w:rPr>
                <w:rFonts w:ascii="Univers 55" w:hAnsi="Univers 55"/>
                <w:color w:val="1F497D" w:themeColor="text2"/>
                <w:sz w:val="22"/>
                <w:szCs w:val="22"/>
              </w:rPr>
              <w:t xml:space="preserve">Questions regarding the above should be directed to </w:t>
            </w:r>
            <w:hyperlink r:id="rId8" w:history="1">
              <w:r w:rsidRPr="00955C40">
                <w:rPr>
                  <w:rStyle w:val="Hyperlink"/>
                  <w:rFonts w:ascii="Univers 55" w:hAnsi="Univers 55"/>
                  <w:sz w:val="22"/>
                  <w:szCs w:val="22"/>
                </w:rPr>
                <w:t>Exhibits@shrm.org</w:t>
              </w:r>
            </w:hyperlink>
          </w:p>
        </w:tc>
      </w:tr>
      <w:tr w:rsidR="003A79AE" w14:paraId="16614DA8" w14:textId="77777777" w:rsidTr="008A0534">
        <w:trPr>
          <w:trHeight w:val="360"/>
        </w:trPr>
        <w:tc>
          <w:tcPr>
            <w:tcW w:w="10890" w:type="dxa"/>
            <w:gridSpan w:val="2"/>
            <w:tcBorders>
              <w:top w:val="nil"/>
              <w:left w:val="nil"/>
              <w:bottom w:val="nil"/>
              <w:right w:val="nil"/>
            </w:tcBorders>
            <w:vAlign w:val="center"/>
          </w:tcPr>
          <w:p w14:paraId="75CFB4AA" w14:textId="77777777" w:rsidR="00854166" w:rsidRDefault="00854166" w:rsidP="00FA0479">
            <w:pPr>
              <w:pStyle w:val="BodyText3"/>
              <w:spacing w:after="120"/>
              <w:rPr>
                <w:rFonts w:ascii="Arial Black" w:hAnsi="Arial Black" w:cs="Arial"/>
                <w:b/>
                <w:color w:val="0075BE"/>
                <w:sz w:val="20"/>
              </w:rPr>
            </w:pPr>
          </w:p>
          <w:p w14:paraId="2C3A1263" w14:textId="6E6362BC" w:rsidR="003A79AE" w:rsidRPr="00052B02" w:rsidRDefault="003A79AE" w:rsidP="00FA0479">
            <w:pPr>
              <w:pStyle w:val="BodyText3"/>
              <w:spacing w:after="120"/>
              <w:rPr>
                <w:rFonts w:ascii="Arial Black" w:hAnsi="Arial Black" w:cs="Arial"/>
                <w:b/>
                <w:color w:val="0075BE"/>
                <w:sz w:val="20"/>
              </w:rPr>
            </w:pPr>
            <w:r w:rsidRPr="00052B02">
              <w:rPr>
                <w:rFonts w:ascii="Arial Black" w:hAnsi="Arial Black" w:cs="Arial"/>
                <w:b/>
                <w:color w:val="0075BE"/>
                <w:sz w:val="20"/>
              </w:rPr>
              <w:t>Children in Exhibit Hall</w:t>
            </w:r>
          </w:p>
          <w:p w14:paraId="4AE03515" w14:textId="4F905557" w:rsidR="003A79AE" w:rsidRPr="009866B0" w:rsidRDefault="003A79AE" w:rsidP="003A79AE">
            <w:pPr>
              <w:pStyle w:val="BodyText2"/>
              <w:pBdr>
                <w:top w:val="none" w:sz="0" w:space="0" w:color="auto"/>
                <w:left w:val="none" w:sz="0" w:space="0" w:color="auto"/>
                <w:bottom w:val="none" w:sz="0" w:space="0" w:color="auto"/>
                <w:right w:val="none" w:sz="0" w:space="0" w:color="auto"/>
              </w:pBdr>
              <w:jc w:val="left"/>
              <w:rPr>
                <w:rFonts w:ascii="Univers 55" w:hAnsi="Univers 55"/>
                <w:sz w:val="22"/>
                <w:szCs w:val="22"/>
              </w:rPr>
            </w:pPr>
            <w:bookmarkStart w:id="0" w:name="_Hlk508290409"/>
            <w:bookmarkStart w:id="1" w:name="_Hlk508290746"/>
            <w:r w:rsidRPr="00052B02">
              <w:rPr>
                <w:rFonts w:ascii="Univers 55" w:hAnsi="Univers 55"/>
                <w:b w:val="0"/>
                <w:sz w:val="22"/>
                <w:szCs w:val="22"/>
              </w:rPr>
              <w:t xml:space="preserve">Move-in and move-out </w:t>
            </w:r>
            <w:proofErr w:type="gramStart"/>
            <w:r w:rsidRPr="00052B02">
              <w:rPr>
                <w:rFonts w:ascii="Univers 55" w:hAnsi="Univers 55"/>
                <w:b w:val="0"/>
                <w:sz w:val="22"/>
                <w:szCs w:val="22"/>
              </w:rPr>
              <w:t>periods</w:t>
            </w:r>
            <w:proofErr w:type="gramEnd"/>
            <w:r w:rsidRPr="00052B02">
              <w:rPr>
                <w:rFonts w:ascii="Univers 55" w:hAnsi="Univers 55"/>
                <w:b w:val="0"/>
                <w:sz w:val="22"/>
                <w:szCs w:val="22"/>
              </w:rPr>
              <w:t xml:space="preserve"> present </w:t>
            </w:r>
            <w:r w:rsidR="00854166" w:rsidRPr="00052B02">
              <w:rPr>
                <w:rFonts w:ascii="Univers 55" w:hAnsi="Univers 55"/>
                <w:b w:val="0"/>
                <w:sz w:val="22"/>
                <w:szCs w:val="22"/>
              </w:rPr>
              <w:t>dangers</w:t>
            </w:r>
            <w:r w:rsidRPr="00052B02">
              <w:rPr>
                <w:rFonts w:ascii="Univers 55" w:hAnsi="Univers 55"/>
                <w:b w:val="0"/>
                <w:sz w:val="22"/>
                <w:szCs w:val="22"/>
              </w:rPr>
              <w:t xml:space="preserve"> on the exhibit floor</w:t>
            </w:r>
            <w:r w:rsidRPr="00052B02">
              <w:rPr>
                <w:rFonts w:ascii="Univers 55" w:hAnsi="Univers 55"/>
                <w:sz w:val="22"/>
                <w:szCs w:val="22"/>
              </w:rPr>
              <w:t xml:space="preserve">. </w:t>
            </w:r>
            <w:bookmarkEnd w:id="0"/>
            <w:r w:rsidRPr="00052B02">
              <w:rPr>
                <w:rFonts w:ascii="Univers 55" w:hAnsi="Univers 55"/>
                <w:b w:val="0"/>
                <w:sz w:val="22"/>
                <w:szCs w:val="22"/>
              </w:rPr>
              <w:t xml:space="preserve">During </w:t>
            </w:r>
            <w:r w:rsidR="007239ED" w:rsidRPr="00052B02">
              <w:rPr>
                <w:rFonts w:ascii="Univers 55" w:hAnsi="Univers 55"/>
                <w:b w:val="0"/>
                <w:sz w:val="22"/>
                <w:szCs w:val="22"/>
              </w:rPr>
              <w:t xml:space="preserve">move-in and move-out </w:t>
            </w:r>
            <w:r w:rsidRPr="00052B02">
              <w:rPr>
                <w:rFonts w:ascii="Univers 55" w:hAnsi="Univers 55"/>
                <w:b w:val="0"/>
                <w:sz w:val="22"/>
                <w:szCs w:val="22"/>
              </w:rPr>
              <w:t>times</w:t>
            </w:r>
            <w:r w:rsidR="00352044" w:rsidRPr="00052B02">
              <w:rPr>
                <w:rFonts w:ascii="Univers 55" w:hAnsi="Univers 55"/>
                <w:b w:val="0"/>
                <w:sz w:val="22"/>
                <w:szCs w:val="22"/>
              </w:rPr>
              <w:t>,</w:t>
            </w:r>
            <w:r w:rsidRPr="00052B02">
              <w:rPr>
                <w:rFonts w:ascii="Univers 55" w:hAnsi="Univers 55"/>
                <w:b w:val="0"/>
                <w:sz w:val="22"/>
                <w:szCs w:val="22"/>
              </w:rPr>
              <w:t xml:space="preserve"> children under the age of 1</w:t>
            </w:r>
            <w:r w:rsidR="001F666F" w:rsidRPr="00052B02">
              <w:rPr>
                <w:rFonts w:ascii="Univers 55" w:hAnsi="Univers 55"/>
                <w:b w:val="0"/>
                <w:sz w:val="22"/>
                <w:szCs w:val="22"/>
              </w:rPr>
              <w:t>8</w:t>
            </w:r>
            <w:r w:rsidRPr="00052B02">
              <w:rPr>
                <w:rFonts w:ascii="Univers 55" w:hAnsi="Univers 55"/>
                <w:b w:val="0"/>
                <w:sz w:val="22"/>
                <w:szCs w:val="22"/>
              </w:rPr>
              <w:t xml:space="preserve"> are specifically prohibited from the exhibit hall. During show hours, children under the age of </w:t>
            </w:r>
            <w:r w:rsidR="00F00525" w:rsidRPr="00052B02">
              <w:rPr>
                <w:rFonts w:ascii="Univers 55" w:hAnsi="Univers 55"/>
                <w:b w:val="0"/>
                <w:sz w:val="22"/>
                <w:szCs w:val="22"/>
              </w:rPr>
              <w:t>1</w:t>
            </w:r>
            <w:r w:rsidR="001F666F" w:rsidRPr="00052B02">
              <w:rPr>
                <w:rFonts w:ascii="Univers 55" w:hAnsi="Univers 55"/>
                <w:b w:val="0"/>
                <w:sz w:val="22"/>
                <w:szCs w:val="22"/>
              </w:rPr>
              <w:t>8</w:t>
            </w:r>
            <w:r w:rsidR="00F00525" w:rsidRPr="00052B02">
              <w:rPr>
                <w:rFonts w:ascii="Univers 55" w:hAnsi="Univers 55"/>
                <w:b w:val="0"/>
                <w:sz w:val="22"/>
                <w:szCs w:val="22"/>
              </w:rPr>
              <w:t xml:space="preserve"> </w:t>
            </w:r>
            <w:r w:rsidRPr="00052B02">
              <w:rPr>
                <w:rFonts w:ascii="Univers 55" w:hAnsi="Univers 55"/>
                <w:b w:val="0"/>
                <w:sz w:val="22"/>
                <w:szCs w:val="22"/>
              </w:rPr>
              <w:t>must be accompanied by an adult.</w:t>
            </w:r>
            <w:r w:rsidRPr="00052B02">
              <w:rPr>
                <w:rFonts w:ascii="Univers 55" w:hAnsi="Univers 55"/>
                <w:sz w:val="22"/>
                <w:szCs w:val="22"/>
              </w:rPr>
              <w:t xml:space="preserve"> </w:t>
            </w:r>
            <w:bookmarkEnd w:id="1"/>
          </w:p>
        </w:tc>
      </w:tr>
      <w:tr w:rsidR="003A79AE" w14:paraId="76B98FD9" w14:textId="77777777" w:rsidTr="008A0534">
        <w:trPr>
          <w:trHeight w:val="360"/>
        </w:trPr>
        <w:tc>
          <w:tcPr>
            <w:tcW w:w="10890" w:type="dxa"/>
            <w:gridSpan w:val="2"/>
            <w:tcBorders>
              <w:top w:val="nil"/>
              <w:left w:val="nil"/>
              <w:bottom w:val="nil"/>
              <w:right w:val="nil"/>
            </w:tcBorders>
            <w:vAlign w:val="center"/>
          </w:tcPr>
          <w:p w14:paraId="2DECF681" w14:textId="77777777" w:rsidR="003A79AE" w:rsidRPr="00643486" w:rsidRDefault="003A79AE" w:rsidP="003A79AE">
            <w:pPr>
              <w:pStyle w:val="BodyText2"/>
              <w:pBdr>
                <w:top w:val="none" w:sz="0" w:space="0" w:color="auto"/>
                <w:left w:val="none" w:sz="0" w:space="0" w:color="auto"/>
                <w:bottom w:val="none" w:sz="0" w:space="0" w:color="auto"/>
                <w:right w:val="none" w:sz="0" w:space="0" w:color="auto"/>
              </w:pBdr>
              <w:jc w:val="left"/>
              <w:rPr>
                <w:rFonts w:asciiTheme="minorHAnsi" w:hAnsiTheme="minorHAnsi"/>
                <w:sz w:val="22"/>
                <w:szCs w:val="22"/>
              </w:rPr>
            </w:pPr>
          </w:p>
        </w:tc>
      </w:tr>
      <w:tr w:rsidR="003A79AE" w14:paraId="109AC3A3" w14:textId="77777777" w:rsidTr="008A0534">
        <w:trPr>
          <w:trHeight w:val="360"/>
        </w:trPr>
        <w:tc>
          <w:tcPr>
            <w:tcW w:w="10890" w:type="dxa"/>
            <w:gridSpan w:val="2"/>
            <w:tcBorders>
              <w:top w:val="nil"/>
              <w:left w:val="nil"/>
              <w:bottom w:val="nil"/>
              <w:right w:val="nil"/>
            </w:tcBorders>
            <w:vAlign w:val="center"/>
          </w:tcPr>
          <w:p w14:paraId="47D061A1" w14:textId="77777777" w:rsidR="003A79AE" w:rsidRPr="00052B02" w:rsidRDefault="003A79AE" w:rsidP="00FA0479">
            <w:pPr>
              <w:pStyle w:val="BodyText2"/>
              <w:pBdr>
                <w:top w:val="none" w:sz="0" w:space="0" w:color="auto"/>
                <w:left w:val="none" w:sz="0" w:space="0" w:color="auto"/>
                <w:bottom w:val="none" w:sz="0" w:space="0" w:color="auto"/>
                <w:right w:val="none" w:sz="0" w:space="0" w:color="auto"/>
              </w:pBdr>
              <w:spacing w:after="120"/>
              <w:jc w:val="left"/>
              <w:rPr>
                <w:rFonts w:ascii="Arial Black" w:hAnsi="Arial Black" w:cs="Arial"/>
                <w:color w:val="0075BE"/>
                <w:sz w:val="20"/>
              </w:rPr>
            </w:pPr>
            <w:r w:rsidRPr="00052B02">
              <w:rPr>
                <w:rFonts w:ascii="Arial Black" w:hAnsi="Arial Black" w:cs="Arial"/>
                <w:color w:val="0075BE"/>
                <w:sz w:val="20"/>
              </w:rPr>
              <w:t>Exhibit Hall Catering</w:t>
            </w:r>
          </w:p>
          <w:p w14:paraId="203E499D" w14:textId="48F2664E" w:rsidR="003A79AE" w:rsidRPr="00643486" w:rsidRDefault="003A79AE" w:rsidP="00F86BC0">
            <w:pPr>
              <w:pStyle w:val="BodyText2"/>
              <w:pBdr>
                <w:top w:val="none" w:sz="0" w:space="0" w:color="auto"/>
                <w:left w:val="none" w:sz="0" w:space="0" w:color="auto"/>
                <w:bottom w:val="none" w:sz="0" w:space="0" w:color="auto"/>
                <w:right w:val="none" w:sz="0" w:space="0" w:color="auto"/>
              </w:pBdr>
              <w:jc w:val="left"/>
              <w:rPr>
                <w:rFonts w:asciiTheme="minorHAnsi" w:hAnsiTheme="minorHAnsi"/>
                <w:sz w:val="22"/>
                <w:szCs w:val="22"/>
              </w:rPr>
            </w:pPr>
            <w:r w:rsidRPr="00052B02">
              <w:rPr>
                <w:rFonts w:asciiTheme="minorHAnsi" w:hAnsiTheme="minorHAnsi"/>
                <w:b w:val="0"/>
                <w:bCs/>
                <w:sz w:val="22"/>
                <w:szCs w:val="22"/>
              </w:rPr>
              <w:t xml:space="preserve">All food </w:t>
            </w:r>
            <w:r w:rsidR="00352044" w:rsidRPr="00052B02">
              <w:rPr>
                <w:rFonts w:asciiTheme="minorHAnsi" w:hAnsiTheme="minorHAnsi"/>
                <w:b w:val="0"/>
                <w:bCs/>
                <w:sz w:val="22"/>
                <w:szCs w:val="22"/>
              </w:rPr>
              <w:t>and</w:t>
            </w:r>
            <w:r w:rsidRPr="00052B02">
              <w:rPr>
                <w:rFonts w:asciiTheme="minorHAnsi" w:hAnsiTheme="minorHAnsi"/>
                <w:b w:val="0"/>
                <w:bCs/>
                <w:sz w:val="22"/>
                <w:szCs w:val="22"/>
              </w:rPr>
              <w:t xml:space="preserve"> beverages served in the exhibit hall must be ordered through </w:t>
            </w:r>
            <w:r w:rsidR="00C67BFE" w:rsidRPr="00052B02">
              <w:rPr>
                <w:rFonts w:asciiTheme="minorHAnsi" w:hAnsiTheme="minorHAnsi"/>
                <w:b w:val="0"/>
                <w:bCs/>
                <w:sz w:val="22"/>
                <w:szCs w:val="22"/>
              </w:rPr>
              <w:t xml:space="preserve">the </w:t>
            </w:r>
            <w:r w:rsidR="00052B02">
              <w:rPr>
                <w:rFonts w:asciiTheme="minorHAnsi" w:hAnsiTheme="minorHAnsi"/>
                <w:b w:val="0"/>
                <w:bCs/>
                <w:sz w:val="22"/>
                <w:szCs w:val="22"/>
              </w:rPr>
              <w:t>New Orleans</w:t>
            </w:r>
            <w:r w:rsidR="00C67BFE" w:rsidRPr="00052B02">
              <w:rPr>
                <w:rFonts w:asciiTheme="minorHAnsi" w:hAnsiTheme="minorHAnsi"/>
                <w:b w:val="0"/>
                <w:bCs/>
                <w:sz w:val="22"/>
                <w:szCs w:val="22"/>
              </w:rPr>
              <w:t xml:space="preserve"> Convention Center’s</w:t>
            </w:r>
            <w:r w:rsidR="007A530C" w:rsidRPr="00052B02">
              <w:rPr>
                <w:rFonts w:asciiTheme="minorHAnsi" w:hAnsiTheme="minorHAnsi"/>
                <w:b w:val="0"/>
                <w:bCs/>
                <w:sz w:val="22"/>
                <w:szCs w:val="22"/>
              </w:rPr>
              <w:t xml:space="preserve"> official </w:t>
            </w:r>
            <w:r w:rsidRPr="00052B02">
              <w:rPr>
                <w:rFonts w:asciiTheme="minorHAnsi" w:hAnsiTheme="minorHAnsi"/>
                <w:b w:val="0"/>
                <w:bCs/>
                <w:sz w:val="22"/>
                <w:szCs w:val="22"/>
              </w:rPr>
              <w:t xml:space="preserve">catering </w:t>
            </w:r>
            <w:r w:rsidR="007A530C" w:rsidRPr="00052B02">
              <w:rPr>
                <w:rFonts w:asciiTheme="minorHAnsi" w:hAnsiTheme="minorHAnsi"/>
                <w:b w:val="0"/>
                <w:bCs/>
                <w:sz w:val="22"/>
                <w:szCs w:val="22"/>
              </w:rPr>
              <w:t>provider</w:t>
            </w:r>
            <w:r w:rsidRPr="00052B02">
              <w:rPr>
                <w:rFonts w:asciiTheme="minorHAnsi" w:hAnsiTheme="minorHAnsi"/>
                <w:b w:val="0"/>
                <w:bCs/>
                <w:sz w:val="22"/>
                <w:szCs w:val="22"/>
              </w:rPr>
              <w:t>.  Further information</w:t>
            </w:r>
            <w:r w:rsidR="00542920" w:rsidRPr="00052B02">
              <w:rPr>
                <w:rFonts w:asciiTheme="minorHAnsi" w:hAnsiTheme="minorHAnsi"/>
                <w:b w:val="0"/>
                <w:bCs/>
                <w:sz w:val="22"/>
                <w:szCs w:val="22"/>
              </w:rPr>
              <w:t xml:space="preserve"> regarding catering</w:t>
            </w:r>
            <w:r w:rsidRPr="00052B02">
              <w:rPr>
                <w:rFonts w:asciiTheme="minorHAnsi" w:hAnsiTheme="minorHAnsi"/>
                <w:b w:val="0"/>
                <w:bCs/>
                <w:sz w:val="22"/>
                <w:szCs w:val="22"/>
              </w:rPr>
              <w:t xml:space="preserve"> can be found under the </w:t>
            </w:r>
            <w:r w:rsidRPr="00052B02">
              <w:rPr>
                <w:rFonts w:asciiTheme="minorHAnsi" w:hAnsiTheme="minorHAnsi"/>
                <w:b w:val="0"/>
                <w:sz w:val="22"/>
                <w:szCs w:val="22"/>
              </w:rPr>
              <w:t xml:space="preserve">“Other Suppliers” section of this </w:t>
            </w:r>
            <w:r w:rsidR="003C61A0" w:rsidRPr="00052B02">
              <w:rPr>
                <w:rFonts w:asciiTheme="minorHAnsi" w:hAnsiTheme="minorHAnsi"/>
                <w:b w:val="0"/>
                <w:sz w:val="22"/>
                <w:szCs w:val="22"/>
              </w:rPr>
              <w:t>guide</w:t>
            </w:r>
            <w:r w:rsidRPr="00052B02">
              <w:rPr>
                <w:rFonts w:asciiTheme="minorHAnsi" w:hAnsiTheme="minorHAnsi"/>
                <w:b w:val="0"/>
                <w:sz w:val="22"/>
                <w:szCs w:val="22"/>
              </w:rPr>
              <w:t>.</w:t>
            </w:r>
          </w:p>
        </w:tc>
      </w:tr>
      <w:tr w:rsidR="003A79AE" w14:paraId="419661B7" w14:textId="77777777" w:rsidTr="008A0534">
        <w:trPr>
          <w:trHeight w:val="360"/>
        </w:trPr>
        <w:tc>
          <w:tcPr>
            <w:tcW w:w="10890" w:type="dxa"/>
            <w:gridSpan w:val="2"/>
            <w:tcBorders>
              <w:top w:val="nil"/>
              <w:left w:val="nil"/>
              <w:bottom w:val="nil"/>
              <w:right w:val="nil"/>
            </w:tcBorders>
            <w:vAlign w:val="center"/>
          </w:tcPr>
          <w:p w14:paraId="1C4FEF27" w14:textId="77777777" w:rsidR="003A79AE" w:rsidRPr="009866B0" w:rsidRDefault="003A79AE" w:rsidP="003A79AE">
            <w:pPr>
              <w:pStyle w:val="BodyText2"/>
              <w:pBdr>
                <w:top w:val="none" w:sz="0" w:space="0" w:color="auto"/>
                <w:left w:val="none" w:sz="0" w:space="0" w:color="auto"/>
                <w:bottom w:val="none" w:sz="0" w:space="0" w:color="auto"/>
                <w:right w:val="none" w:sz="0" w:space="0" w:color="auto"/>
              </w:pBdr>
              <w:jc w:val="left"/>
              <w:rPr>
                <w:rFonts w:ascii="Univers 55" w:hAnsi="Univers 55"/>
                <w:sz w:val="22"/>
                <w:szCs w:val="22"/>
              </w:rPr>
            </w:pPr>
          </w:p>
        </w:tc>
      </w:tr>
      <w:tr w:rsidR="003A79AE" w14:paraId="5D45D522" w14:textId="77777777" w:rsidTr="008A0534">
        <w:trPr>
          <w:trHeight w:val="360"/>
        </w:trPr>
        <w:tc>
          <w:tcPr>
            <w:tcW w:w="10890" w:type="dxa"/>
            <w:gridSpan w:val="2"/>
            <w:tcBorders>
              <w:top w:val="nil"/>
              <w:left w:val="nil"/>
              <w:bottom w:val="nil"/>
              <w:right w:val="nil"/>
            </w:tcBorders>
            <w:vAlign w:val="center"/>
          </w:tcPr>
          <w:p w14:paraId="412F8C50" w14:textId="77777777" w:rsidR="003A79AE" w:rsidRPr="00052B02" w:rsidRDefault="003A79AE" w:rsidP="00FA0479">
            <w:pPr>
              <w:pStyle w:val="BodyText2"/>
              <w:pBdr>
                <w:top w:val="none" w:sz="0" w:space="0" w:color="auto"/>
                <w:left w:val="none" w:sz="0" w:space="0" w:color="auto"/>
                <w:bottom w:val="none" w:sz="0" w:space="0" w:color="auto"/>
                <w:right w:val="none" w:sz="0" w:space="0" w:color="auto"/>
              </w:pBdr>
              <w:spacing w:after="120"/>
              <w:jc w:val="left"/>
              <w:rPr>
                <w:rFonts w:ascii="Arial Black" w:hAnsi="Arial Black" w:cs="Arial"/>
                <w:color w:val="0075BE"/>
                <w:sz w:val="20"/>
              </w:rPr>
            </w:pPr>
            <w:r w:rsidRPr="00052B02">
              <w:rPr>
                <w:rFonts w:ascii="Arial Black" w:hAnsi="Arial Black" w:cs="Arial"/>
                <w:color w:val="0075BE"/>
                <w:sz w:val="20"/>
              </w:rPr>
              <w:t>Magazine/Publication Distribution</w:t>
            </w:r>
          </w:p>
          <w:p w14:paraId="5826A2F1" w14:textId="77777777" w:rsidR="003A79AE" w:rsidRPr="009866B0" w:rsidRDefault="003A79AE" w:rsidP="003A79AE">
            <w:pPr>
              <w:pStyle w:val="BodyText2"/>
              <w:pBdr>
                <w:top w:val="none" w:sz="0" w:space="0" w:color="auto"/>
                <w:left w:val="none" w:sz="0" w:space="0" w:color="auto"/>
                <w:bottom w:val="none" w:sz="0" w:space="0" w:color="auto"/>
                <w:right w:val="none" w:sz="0" w:space="0" w:color="auto"/>
              </w:pBdr>
              <w:jc w:val="left"/>
              <w:rPr>
                <w:rFonts w:ascii="Univers 55" w:hAnsi="Univers 55"/>
                <w:b w:val="0"/>
                <w:sz w:val="22"/>
                <w:szCs w:val="22"/>
              </w:rPr>
            </w:pPr>
            <w:r w:rsidRPr="00052B02">
              <w:rPr>
                <w:rFonts w:ascii="Univers 55" w:hAnsi="Univers 55"/>
                <w:b w:val="0"/>
                <w:sz w:val="22"/>
                <w:szCs w:val="22"/>
              </w:rPr>
              <w:t>Exhibitors who publish magazines will be allowed to distribute the magazines from their booths and no other location.  Magazines may not be distributed from aisles or other common areas.</w:t>
            </w:r>
          </w:p>
        </w:tc>
      </w:tr>
      <w:tr w:rsidR="003A79AE" w14:paraId="549976EC" w14:textId="77777777" w:rsidTr="008A0534">
        <w:trPr>
          <w:trHeight w:val="360"/>
        </w:trPr>
        <w:tc>
          <w:tcPr>
            <w:tcW w:w="10890" w:type="dxa"/>
            <w:gridSpan w:val="2"/>
            <w:tcBorders>
              <w:top w:val="nil"/>
              <w:left w:val="nil"/>
              <w:bottom w:val="nil"/>
              <w:right w:val="nil"/>
            </w:tcBorders>
            <w:vAlign w:val="center"/>
          </w:tcPr>
          <w:p w14:paraId="5B0E7488" w14:textId="77777777" w:rsidR="003A79AE" w:rsidRPr="009866B0" w:rsidRDefault="003A79AE" w:rsidP="003A79AE">
            <w:pPr>
              <w:pStyle w:val="BodyText2"/>
              <w:pBdr>
                <w:top w:val="none" w:sz="0" w:space="0" w:color="auto"/>
                <w:left w:val="none" w:sz="0" w:space="0" w:color="auto"/>
                <w:bottom w:val="none" w:sz="0" w:space="0" w:color="auto"/>
                <w:right w:val="none" w:sz="0" w:space="0" w:color="auto"/>
              </w:pBdr>
              <w:jc w:val="left"/>
              <w:rPr>
                <w:rFonts w:ascii="Univers 55" w:hAnsi="Univers 55"/>
                <w:sz w:val="22"/>
                <w:szCs w:val="22"/>
              </w:rPr>
            </w:pPr>
          </w:p>
        </w:tc>
      </w:tr>
      <w:tr w:rsidR="003A79AE" w14:paraId="56B54FE7" w14:textId="77777777" w:rsidTr="008A0534">
        <w:trPr>
          <w:trHeight w:val="360"/>
        </w:trPr>
        <w:tc>
          <w:tcPr>
            <w:tcW w:w="10890" w:type="dxa"/>
            <w:gridSpan w:val="2"/>
            <w:tcBorders>
              <w:top w:val="nil"/>
              <w:left w:val="nil"/>
              <w:bottom w:val="nil"/>
              <w:right w:val="nil"/>
            </w:tcBorders>
            <w:vAlign w:val="center"/>
          </w:tcPr>
          <w:p w14:paraId="1E741CB2" w14:textId="77777777" w:rsidR="003A79AE" w:rsidRPr="00052B02" w:rsidRDefault="003A79AE" w:rsidP="00FA0479">
            <w:pPr>
              <w:pStyle w:val="BodyText2"/>
              <w:pBdr>
                <w:top w:val="none" w:sz="0" w:space="0" w:color="auto"/>
                <w:left w:val="none" w:sz="0" w:space="0" w:color="auto"/>
                <w:bottom w:val="none" w:sz="0" w:space="0" w:color="auto"/>
                <w:right w:val="none" w:sz="0" w:space="0" w:color="auto"/>
              </w:pBdr>
              <w:spacing w:after="120"/>
              <w:jc w:val="left"/>
              <w:rPr>
                <w:rFonts w:ascii="Arial Black" w:hAnsi="Arial Black" w:cs="Arial"/>
                <w:color w:val="0075BE"/>
                <w:sz w:val="20"/>
              </w:rPr>
            </w:pPr>
            <w:r w:rsidRPr="00052B02">
              <w:rPr>
                <w:rFonts w:ascii="Arial Black" w:hAnsi="Arial Black" w:cs="Arial"/>
                <w:color w:val="0075BE"/>
                <w:sz w:val="20"/>
              </w:rPr>
              <w:t>Noise</w:t>
            </w:r>
          </w:p>
          <w:p w14:paraId="677D8DC9" w14:textId="77777777" w:rsidR="003A79AE" w:rsidRPr="009866B0" w:rsidRDefault="003A79AE" w:rsidP="003A79AE">
            <w:pPr>
              <w:pStyle w:val="BodyText2"/>
              <w:pBdr>
                <w:top w:val="none" w:sz="0" w:space="0" w:color="auto"/>
                <w:left w:val="none" w:sz="0" w:space="0" w:color="auto"/>
                <w:bottom w:val="none" w:sz="0" w:space="0" w:color="auto"/>
                <w:right w:val="none" w:sz="0" w:space="0" w:color="auto"/>
              </w:pBdr>
              <w:jc w:val="left"/>
              <w:rPr>
                <w:rFonts w:ascii="Univers 55" w:hAnsi="Univers 55"/>
                <w:sz w:val="22"/>
                <w:szCs w:val="22"/>
              </w:rPr>
            </w:pPr>
            <w:r w:rsidRPr="00052B02">
              <w:rPr>
                <w:rFonts w:ascii="Univers 55" w:hAnsi="Univers 55"/>
                <w:b w:val="0"/>
                <w:sz w:val="22"/>
                <w:szCs w:val="22"/>
              </w:rPr>
              <w:t>Public address systems must not interfere with the activities of adjoining exhibitors.  Electric or electronic amplification of musical instruments is specifically prohibited.  SHRM Show Management reserves the right to restrict exhibits that may be deemed unsuitable or objectionable.  This reservation applies to noise, persons, things, conduct, printed matter or anything of a character that might be objectionable to the Exposition as a whole.</w:t>
            </w:r>
          </w:p>
        </w:tc>
      </w:tr>
      <w:tr w:rsidR="003A79AE" w14:paraId="6B57FCC3" w14:textId="77777777" w:rsidTr="008A0534">
        <w:trPr>
          <w:trHeight w:val="387"/>
        </w:trPr>
        <w:tc>
          <w:tcPr>
            <w:tcW w:w="10890" w:type="dxa"/>
            <w:gridSpan w:val="2"/>
            <w:tcBorders>
              <w:top w:val="nil"/>
              <w:left w:val="nil"/>
              <w:bottom w:val="nil"/>
              <w:right w:val="nil"/>
            </w:tcBorders>
            <w:vAlign w:val="center"/>
          </w:tcPr>
          <w:p w14:paraId="04C742BD" w14:textId="77777777" w:rsidR="003A79AE" w:rsidRPr="009866B0" w:rsidRDefault="003A79AE" w:rsidP="003A79AE">
            <w:pPr>
              <w:pStyle w:val="BodyText2"/>
              <w:pBdr>
                <w:top w:val="none" w:sz="0" w:space="0" w:color="auto"/>
                <w:left w:val="none" w:sz="0" w:space="0" w:color="auto"/>
                <w:bottom w:val="none" w:sz="0" w:space="0" w:color="auto"/>
                <w:right w:val="none" w:sz="0" w:space="0" w:color="auto"/>
              </w:pBdr>
              <w:jc w:val="left"/>
              <w:rPr>
                <w:rFonts w:ascii="Univers 55" w:hAnsi="Univers 55"/>
                <w:sz w:val="22"/>
                <w:szCs w:val="22"/>
              </w:rPr>
            </w:pPr>
          </w:p>
        </w:tc>
      </w:tr>
      <w:tr w:rsidR="003A79AE" w14:paraId="5B725B07" w14:textId="77777777" w:rsidTr="008A0534">
        <w:trPr>
          <w:trHeight w:val="360"/>
        </w:trPr>
        <w:tc>
          <w:tcPr>
            <w:tcW w:w="10890" w:type="dxa"/>
            <w:gridSpan w:val="2"/>
            <w:tcBorders>
              <w:top w:val="nil"/>
              <w:left w:val="nil"/>
              <w:bottom w:val="nil"/>
              <w:right w:val="nil"/>
            </w:tcBorders>
            <w:vAlign w:val="center"/>
          </w:tcPr>
          <w:p w14:paraId="2988B635" w14:textId="77777777" w:rsidR="003A79AE" w:rsidRPr="00052B02" w:rsidRDefault="003A79AE" w:rsidP="00FA0479">
            <w:pPr>
              <w:pStyle w:val="BodyText2"/>
              <w:pBdr>
                <w:top w:val="none" w:sz="0" w:space="0" w:color="auto"/>
                <w:left w:val="none" w:sz="0" w:space="0" w:color="auto"/>
                <w:bottom w:val="none" w:sz="0" w:space="0" w:color="auto"/>
                <w:right w:val="none" w:sz="0" w:space="0" w:color="auto"/>
              </w:pBdr>
              <w:spacing w:after="120"/>
              <w:jc w:val="left"/>
              <w:rPr>
                <w:rFonts w:ascii="Arial Black" w:hAnsi="Arial Black" w:cs="Arial"/>
                <w:color w:val="0075BE"/>
                <w:sz w:val="20"/>
              </w:rPr>
            </w:pPr>
            <w:r w:rsidRPr="00052B02">
              <w:rPr>
                <w:rFonts w:ascii="Arial Black" w:hAnsi="Arial Black" w:cs="Arial"/>
                <w:color w:val="0075BE"/>
                <w:sz w:val="20"/>
              </w:rPr>
              <w:t>Photographs and Videotaping</w:t>
            </w:r>
          </w:p>
          <w:p w14:paraId="7CC2E259" w14:textId="77777777" w:rsidR="003A79AE" w:rsidRPr="009866B0" w:rsidRDefault="003A79AE" w:rsidP="003A79AE">
            <w:pPr>
              <w:pStyle w:val="BodyText2"/>
              <w:pBdr>
                <w:top w:val="none" w:sz="0" w:space="0" w:color="auto"/>
                <w:left w:val="none" w:sz="0" w:space="0" w:color="auto"/>
                <w:bottom w:val="none" w:sz="0" w:space="0" w:color="auto"/>
                <w:right w:val="none" w:sz="0" w:space="0" w:color="auto"/>
              </w:pBdr>
              <w:jc w:val="left"/>
              <w:rPr>
                <w:rFonts w:ascii="Univers 55" w:hAnsi="Univers 55"/>
                <w:b w:val="0"/>
                <w:sz w:val="22"/>
                <w:szCs w:val="22"/>
              </w:rPr>
            </w:pPr>
            <w:r w:rsidRPr="00052B02">
              <w:rPr>
                <w:rFonts w:ascii="Univers 55" w:hAnsi="Univers 55"/>
                <w:b w:val="0"/>
                <w:sz w:val="22"/>
                <w:szCs w:val="22"/>
              </w:rPr>
              <w:t>The taking of photographs and/or video recording is permitted within the exhibit hall provided that the subjects being photographed or videotaped do not object.  If an objection is raised, you will be asked to discontinue immediately.  Show management reserves the right to limit photo/video access when considered inappropriate.</w:t>
            </w:r>
          </w:p>
        </w:tc>
      </w:tr>
      <w:tr w:rsidR="003A79AE" w14:paraId="220A56D2" w14:textId="77777777" w:rsidTr="008A0534">
        <w:trPr>
          <w:trHeight w:val="360"/>
        </w:trPr>
        <w:tc>
          <w:tcPr>
            <w:tcW w:w="10890" w:type="dxa"/>
            <w:gridSpan w:val="2"/>
            <w:tcBorders>
              <w:top w:val="nil"/>
              <w:left w:val="nil"/>
              <w:bottom w:val="nil"/>
              <w:right w:val="nil"/>
            </w:tcBorders>
            <w:vAlign w:val="center"/>
          </w:tcPr>
          <w:p w14:paraId="4D1B0E8F" w14:textId="77777777" w:rsidR="003A79AE" w:rsidRPr="009866B0" w:rsidRDefault="003A79AE" w:rsidP="003A79AE">
            <w:pPr>
              <w:pStyle w:val="BodyText2"/>
              <w:pBdr>
                <w:top w:val="none" w:sz="0" w:space="0" w:color="auto"/>
                <w:left w:val="none" w:sz="0" w:space="0" w:color="auto"/>
                <w:bottom w:val="none" w:sz="0" w:space="0" w:color="auto"/>
                <w:right w:val="none" w:sz="0" w:space="0" w:color="auto"/>
              </w:pBdr>
              <w:jc w:val="left"/>
              <w:rPr>
                <w:rFonts w:ascii="Univers 55" w:hAnsi="Univers 55"/>
                <w:sz w:val="22"/>
                <w:szCs w:val="22"/>
              </w:rPr>
            </w:pPr>
          </w:p>
        </w:tc>
      </w:tr>
      <w:tr w:rsidR="003A79AE" w14:paraId="468D9160" w14:textId="77777777" w:rsidTr="008A0534">
        <w:trPr>
          <w:trHeight w:val="360"/>
        </w:trPr>
        <w:tc>
          <w:tcPr>
            <w:tcW w:w="10890" w:type="dxa"/>
            <w:gridSpan w:val="2"/>
            <w:tcBorders>
              <w:top w:val="nil"/>
              <w:left w:val="nil"/>
              <w:bottom w:val="nil"/>
              <w:right w:val="nil"/>
            </w:tcBorders>
            <w:vAlign w:val="center"/>
          </w:tcPr>
          <w:p w14:paraId="01B18C16" w14:textId="77777777" w:rsidR="003A79AE" w:rsidRPr="00052B02" w:rsidRDefault="003A79AE" w:rsidP="00FA0479">
            <w:pPr>
              <w:pStyle w:val="BodyText2"/>
              <w:pBdr>
                <w:top w:val="none" w:sz="0" w:space="0" w:color="auto"/>
                <w:left w:val="none" w:sz="0" w:space="0" w:color="auto"/>
                <w:bottom w:val="none" w:sz="0" w:space="0" w:color="auto"/>
                <w:right w:val="none" w:sz="0" w:space="0" w:color="auto"/>
              </w:pBdr>
              <w:spacing w:after="120"/>
              <w:jc w:val="left"/>
              <w:rPr>
                <w:rFonts w:ascii="Arial Black" w:hAnsi="Arial Black" w:cs="Arial"/>
                <w:color w:val="0075BE"/>
                <w:sz w:val="20"/>
              </w:rPr>
            </w:pPr>
            <w:r w:rsidRPr="00052B02">
              <w:rPr>
                <w:rFonts w:ascii="Arial Black" w:hAnsi="Arial Black" w:cs="Arial"/>
                <w:color w:val="0075BE"/>
                <w:sz w:val="20"/>
              </w:rPr>
              <w:t>Prize Drawings/Giveaways</w:t>
            </w:r>
          </w:p>
          <w:p w14:paraId="1357DAA6" w14:textId="143582AA" w:rsidR="003A79AE" w:rsidRPr="00052B02" w:rsidRDefault="003A79AE" w:rsidP="003A79AE">
            <w:pPr>
              <w:pStyle w:val="BodyText2"/>
              <w:numPr>
                <w:ilvl w:val="0"/>
                <w:numId w:val="1"/>
              </w:numPr>
              <w:pBdr>
                <w:top w:val="none" w:sz="0" w:space="0" w:color="auto"/>
                <w:left w:val="none" w:sz="0" w:space="0" w:color="auto"/>
                <w:bottom w:val="none" w:sz="0" w:space="0" w:color="auto"/>
                <w:right w:val="none" w:sz="0" w:space="0" w:color="auto"/>
              </w:pBdr>
              <w:jc w:val="left"/>
              <w:rPr>
                <w:rFonts w:asciiTheme="minorHAnsi" w:hAnsiTheme="minorHAnsi"/>
                <w:b w:val="0"/>
                <w:sz w:val="22"/>
                <w:szCs w:val="22"/>
              </w:rPr>
            </w:pPr>
            <w:r w:rsidRPr="00052B02">
              <w:rPr>
                <w:rFonts w:asciiTheme="minorHAnsi" w:hAnsiTheme="minorHAnsi"/>
                <w:b w:val="0"/>
                <w:sz w:val="22"/>
                <w:szCs w:val="22"/>
              </w:rPr>
              <w:t xml:space="preserve">Exhibitors </w:t>
            </w:r>
            <w:r w:rsidR="00C11CA4" w:rsidRPr="00052B02">
              <w:rPr>
                <w:rFonts w:asciiTheme="minorHAnsi" w:hAnsiTheme="minorHAnsi"/>
                <w:b w:val="0"/>
                <w:sz w:val="22"/>
                <w:szCs w:val="22"/>
              </w:rPr>
              <w:t xml:space="preserve">may </w:t>
            </w:r>
            <w:r w:rsidRPr="00052B02">
              <w:rPr>
                <w:rFonts w:asciiTheme="minorHAnsi" w:hAnsiTheme="minorHAnsi"/>
                <w:b w:val="0"/>
                <w:sz w:val="22"/>
                <w:szCs w:val="22"/>
              </w:rPr>
              <w:t xml:space="preserve">register attendees for prizes and giveaways.  </w:t>
            </w:r>
          </w:p>
          <w:p w14:paraId="2C6BBDB1" w14:textId="77777777" w:rsidR="003A79AE" w:rsidRPr="00052B02" w:rsidRDefault="003A79AE" w:rsidP="003A79AE">
            <w:pPr>
              <w:pStyle w:val="BodyText2"/>
              <w:numPr>
                <w:ilvl w:val="0"/>
                <w:numId w:val="1"/>
              </w:numPr>
              <w:pBdr>
                <w:top w:val="none" w:sz="0" w:space="0" w:color="auto"/>
                <w:left w:val="none" w:sz="0" w:space="0" w:color="auto"/>
                <w:bottom w:val="none" w:sz="0" w:space="0" w:color="auto"/>
                <w:right w:val="none" w:sz="0" w:space="0" w:color="auto"/>
              </w:pBdr>
              <w:jc w:val="left"/>
              <w:rPr>
                <w:rFonts w:asciiTheme="minorHAnsi" w:hAnsiTheme="minorHAnsi"/>
                <w:b w:val="0"/>
                <w:sz w:val="22"/>
                <w:szCs w:val="22"/>
              </w:rPr>
            </w:pPr>
            <w:r w:rsidRPr="00052B02">
              <w:rPr>
                <w:rFonts w:asciiTheme="minorHAnsi" w:hAnsiTheme="minorHAnsi"/>
                <w:b w:val="0"/>
                <w:sz w:val="22"/>
                <w:szCs w:val="22"/>
              </w:rPr>
              <w:t xml:space="preserve">All activity must be confined within the exhibitor’s booth.  </w:t>
            </w:r>
          </w:p>
          <w:p w14:paraId="3C59004C" w14:textId="2104019D" w:rsidR="003A79AE" w:rsidRPr="00052B02" w:rsidRDefault="003A79AE" w:rsidP="003A79AE">
            <w:pPr>
              <w:pStyle w:val="BodyText2"/>
              <w:numPr>
                <w:ilvl w:val="0"/>
                <w:numId w:val="1"/>
              </w:numPr>
              <w:pBdr>
                <w:top w:val="none" w:sz="0" w:space="0" w:color="auto"/>
                <w:left w:val="none" w:sz="0" w:space="0" w:color="auto"/>
                <w:bottom w:val="none" w:sz="0" w:space="0" w:color="auto"/>
                <w:right w:val="none" w:sz="0" w:space="0" w:color="auto"/>
              </w:pBdr>
              <w:jc w:val="left"/>
              <w:rPr>
                <w:rFonts w:asciiTheme="minorHAnsi" w:hAnsiTheme="minorHAnsi"/>
                <w:b w:val="0"/>
                <w:sz w:val="22"/>
                <w:szCs w:val="22"/>
              </w:rPr>
            </w:pPr>
            <w:r w:rsidRPr="00052B02">
              <w:rPr>
                <w:rFonts w:asciiTheme="minorHAnsi" w:hAnsiTheme="minorHAnsi"/>
                <w:b w:val="0"/>
                <w:sz w:val="22"/>
                <w:szCs w:val="22"/>
              </w:rPr>
              <w:t>NO announcements will be made over the public address system</w:t>
            </w:r>
            <w:r w:rsidR="00F00525" w:rsidRPr="00052B02">
              <w:rPr>
                <w:rFonts w:asciiTheme="minorHAnsi" w:hAnsiTheme="minorHAnsi"/>
                <w:b w:val="0"/>
                <w:sz w:val="22"/>
                <w:szCs w:val="22"/>
              </w:rPr>
              <w:t xml:space="preserve"> announcing the winner of any exhibitor prize drawing/giveaway</w:t>
            </w:r>
            <w:r w:rsidRPr="00052B02">
              <w:rPr>
                <w:rFonts w:asciiTheme="minorHAnsi" w:hAnsiTheme="minorHAnsi"/>
                <w:b w:val="0"/>
                <w:sz w:val="22"/>
                <w:szCs w:val="22"/>
              </w:rPr>
              <w:t xml:space="preserve">. </w:t>
            </w:r>
          </w:p>
          <w:p w14:paraId="3D6D4B03" w14:textId="77777777" w:rsidR="00FA0479" w:rsidRPr="00052B02" w:rsidRDefault="00FA0479" w:rsidP="003A79AE">
            <w:pPr>
              <w:pStyle w:val="BodyText2"/>
              <w:pBdr>
                <w:top w:val="none" w:sz="0" w:space="0" w:color="auto"/>
                <w:left w:val="none" w:sz="0" w:space="0" w:color="auto"/>
                <w:bottom w:val="none" w:sz="0" w:space="0" w:color="auto"/>
                <w:right w:val="none" w:sz="0" w:space="0" w:color="auto"/>
              </w:pBdr>
              <w:jc w:val="left"/>
              <w:rPr>
                <w:rFonts w:asciiTheme="minorHAnsi" w:hAnsiTheme="minorHAnsi"/>
                <w:b w:val="0"/>
                <w:sz w:val="22"/>
                <w:szCs w:val="22"/>
              </w:rPr>
            </w:pPr>
          </w:p>
          <w:p w14:paraId="24E37F0B" w14:textId="00A4C023" w:rsidR="003A79AE" w:rsidRPr="00643486" w:rsidRDefault="003A79AE" w:rsidP="003A79AE">
            <w:pPr>
              <w:pStyle w:val="BodyText2"/>
              <w:pBdr>
                <w:top w:val="none" w:sz="0" w:space="0" w:color="auto"/>
                <w:left w:val="none" w:sz="0" w:space="0" w:color="auto"/>
                <w:bottom w:val="none" w:sz="0" w:space="0" w:color="auto"/>
                <w:right w:val="none" w:sz="0" w:space="0" w:color="auto"/>
              </w:pBdr>
              <w:jc w:val="left"/>
              <w:rPr>
                <w:rFonts w:asciiTheme="minorHAnsi" w:hAnsiTheme="minorHAnsi"/>
                <w:sz w:val="22"/>
                <w:szCs w:val="22"/>
              </w:rPr>
            </w:pPr>
            <w:r w:rsidRPr="00052B02">
              <w:rPr>
                <w:rFonts w:asciiTheme="minorHAnsi" w:hAnsiTheme="minorHAnsi"/>
                <w:b w:val="0"/>
                <w:sz w:val="22"/>
                <w:szCs w:val="22"/>
              </w:rPr>
              <w:t xml:space="preserve">Crowding of aisles is a safety hazard and exhibitors may be restricted from doing prize drawings. </w:t>
            </w:r>
            <w:r w:rsidRPr="00052B02">
              <w:rPr>
                <w:rFonts w:asciiTheme="minorHAnsi" w:hAnsiTheme="minorHAnsi"/>
                <w:sz w:val="22"/>
                <w:szCs w:val="22"/>
              </w:rPr>
              <w:t>Exhibitors may not hold drawings where attendees must be present to win.</w:t>
            </w:r>
          </w:p>
        </w:tc>
      </w:tr>
      <w:tr w:rsidR="00572D81" w14:paraId="19D50460" w14:textId="77777777" w:rsidTr="008A0534">
        <w:trPr>
          <w:trHeight w:val="360"/>
        </w:trPr>
        <w:tc>
          <w:tcPr>
            <w:tcW w:w="10890" w:type="dxa"/>
            <w:gridSpan w:val="2"/>
            <w:tcBorders>
              <w:top w:val="nil"/>
              <w:left w:val="nil"/>
              <w:bottom w:val="nil"/>
              <w:right w:val="nil"/>
            </w:tcBorders>
            <w:vAlign w:val="center"/>
          </w:tcPr>
          <w:p w14:paraId="400EFB8C" w14:textId="77777777" w:rsidR="00572D81" w:rsidRPr="003A79AE" w:rsidRDefault="00572D81" w:rsidP="003A79AE">
            <w:pPr>
              <w:pStyle w:val="BodyText2"/>
              <w:pBdr>
                <w:top w:val="none" w:sz="0" w:space="0" w:color="auto"/>
                <w:left w:val="none" w:sz="0" w:space="0" w:color="auto"/>
                <w:bottom w:val="none" w:sz="0" w:space="0" w:color="auto"/>
                <w:right w:val="none" w:sz="0" w:space="0" w:color="auto"/>
              </w:pBdr>
              <w:jc w:val="left"/>
              <w:rPr>
                <w:rFonts w:ascii="Trebuchet MS" w:hAnsi="Trebuchet MS"/>
                <w:color w:val="000080"/>
              </w:rPr>
            </w:pPr>
          </w:p>
        </w:tc>
      </w:tr>
      <w:tr w:rsidR="00052B02" w:rsidRPr="00052B02" w14:paraId="3F40EB28" w14:textId="77777777" w:rsidTr="008A0534">
        <w:trPr>
          <w:trHeight w:val="360"/>
        </w:trPr>
        <w:tc>
          <w:tcPr>
            <w:tcW w:w="10890" w:type="dxa"/>
            <w:gridSpan w:val="2"/>
            <w:tcBorders>
              <w:top w:val="nil"/>
              <w:left w:val="nil"/>
              <w:bottom w:val="nil"/>
              <w:right w:val="nil"/>
            </w:tcBorders>
            <w:vAlign w:val="center"/>
          </w:tcPr>
          <w:p w14:paraId="1C159A8A" w14:textId="77777777" w:rsidR="00572D81" w:rsidRPr="00052B02" w:rsidRDefault="00572D81" w:rsidP="00FA0479">
            <w:pPr>
              <w:pStyle w:val="BodyText2"/>
              <w:pBdr>
                <w:top w:val="none" w:sz="0" w:space="0" w:color="auto"/>
                <w:left w:val="none" w:sz="0" w:space="0" w:color="auto"/>
                <w:bottom w:val="none" w:sz="0" w:space="0" w:color="auto"/>
                <w:right w:val="none" w:sz="0" w:space="0" w:color="auto"/>
              </w:pBdr>
              <w:spacing w:after="120"/>
              <w:jc w:val="left"/>
              <w:rPr>
                <w:rFonts w:ascii="Arial Black" w:hAnsi="Arial Black" w:cs="Arial"/>
                <w:color w:val="0075BE"/>
                <w:sz w:val="20"/>
              </w:rPr>
            </w:pPr>
            <w:r w:rsidRPr="00052B02">
              <w:rPr>
                <w:rFonts w:ascii="Arial Black" w:hAnsi="Arial Black" w:cs="Arial"/>
                <w:color w:val="0075BE"/>
                <w:sz w:val="20"/>
              </w:rPr>
              <w:lastRenderedPageBreak/>
              <w:t>Use of Aisles</w:t>
            </w:r>
          </w:p>
          <w:p w14:paraId="5071F7EC" w14:textId="2A57AD6C" w:rsidR="00542920" w:rsidRPr="00052B02" w:rsidRDefault="00572D81" w:rsidP="008A0534">
            <w:pPr>
              <w:pStyle w:val="BodyText2"/>
              <w:pBdr>
                <w:top w:val="none" w:sz="0" w:space="0" w:color="auto"/>
                <w:left w:val="none" w:sz="0" w:space="0" w:color="auto"/>
                <w:bottom w:val="none" w:sz="0" w:space="0" w:color="auto"/>
                <w:right w:val="none" w:sz="0" w:space="0" w:color="auto"/>
              </w:pBdr>
              <w:jc w:val="left"/>
              <w:rPr>
                <w:rFonts w:ascii="Trebuchet MS" w:hAnsi="Trebuchet MS"/>
                <w:sz w:val="22"/>
                <w:szCs w:val="22"/>
              </w:rPr>
            </w:pPr>
            <w:r w:rsidRPr="00052B02">
              <w:rPr>
                <w:rFonts w:ascii="Univers 55" w:hAnsi="Univers 55"/>
                <w:b w:val="0"/>
                <w:sz w:val="22"/>
                <w:szCs w:val="22"/>
              </w:rPr>
              <w:t xml:space="preserve">The aisles, passageways and overhead spaces remain strictly under the control of SHRM.  No signs, decorations, banners, advertising matter or special exhibits will be permitted in the aisles.  Uniformed attendants, models, </w:t>
            </w:r>
            <w:r w:rsidR="00854166" w:rsidRPr="00052B02">
              <w:rPr>
                <w:rFonts w:ascii="Univers 55" w:hAnsi="Univers 55"/>
                <w:b w:val="0"/>
                <w:sz w:val="22"/>
                <w:szCs w:val="22"/>
              </w:rPr>
              <w:t>mascots,</w:t>
            </w:r>
            <w:r w:rsidRPr="00052B02">
              <w:rPr>
                <w:rFonts w:ascii="Univers 55" w:hAnsi="Univers 55"/>
                <w:b w:val="0"/>
                <w:sz w:val="22"/>
                <w:szCs w:val="22"/>
              </w:rPr>
              <w:t xml:space="preserve"> and other employees must remain in the booth occupied by their employers.  All advertising distribution must be made from the exhibitor’s booth space.</w:t>
            </w:r>
          </w:p>
        </w:tc>
      </w:tr>
    </w:tbl>
    <w:p w14:paraId="388A2FE1" w14:textId="77777777" w:rsidR="007A0FC1" w:rsidRPr="00052B02" w:rsidRDefault="00FA0479" w:rsidP="0016315D">
      <w:pPr>
        <w:pStyle w:val="BodyText"/>
        <w:rPr>
          <w:rFonts w:ascii="Trebuchet MS" w:hAnsi="Trebuchet MS"/>
          <w:sz w:val="22"/>
          <w:szCs w:val="22"/>
        </w:rPr>
      </w:pPr>
      <w:r w:rsidRPr="00052B02">
        <w:rPr>
          <w:noProof/>
          <w:snapToGrid/>
        </w:rPr>
        <mc:AlternateContent>
          <mc:Choice Requires="wps">
            <w:drawing>
              <wp:anchor distT="0" distB="0" distL="114300" distR="114300" simplePos="0" relativeHeight="251657728" behindDoc="0" locked="0" layoutInCell="1" allowOverlap="1" wp14:anchorId="285B961E" wp14:editId="5C9ACC65">
                <wp:simplePos x="0" y="0"/>
                <wp:positionH relativeFrom="column">
                  <wp:posOffset>51435</wp:posOffset>
                </wp:positionH>
                <wp:positionV relativeFrom="paragraph">
                  <wp:posOffset>36195</wp:posOffset>
                </wp:positionV>
                <wp:extent cx="0" cy="0"/>
                <wp:effectExtent l="0" t="0" r="0" b="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8DFFA" id="Line 1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85pt" to="4.0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"/>
            </w:pict>
          </mc:Fallback>
        </mc:AlternateContent>
      </w:r>
    </w:p>
    <w:sectPr w:rsidR="007A0FC1" w:rsidRPr="00052B02" w:rsidSect="00F00525">
      <w:headerReference w:type="default" r:id="rId9"/>
      <w:type w:val="continuous"/>
      <w:pgSz w:w="12240" w:h="15840"/>
      <w:pgMar w:top="720" w:right="900" w:bottom="630" w:left="810" w:header="63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C3110B" w14:textId="77777777" w:rsidR="00986377" w:rsidRDefault="00986377">
      <w:r>
        <w:separator/>
      </w:r>
    </w:p>
  </w:endnote>
  <w:endnote w:type="continuationSeparator" w:id="0">
    <w:p w14:paraId="10E98BF6" w14:textId="77777777" w:rsidR="00986377" w:rsidRDefault="0098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ACFF" w:usb2="00000009" w:usb3="00000000" w:csb0="000001FF" w:csb1="00000000"/>
  </w:font>
  <w:font w:name="Univers 55">
    <w:altName w:val="Calibri"/>
    <w:panose1 w:val="020B060402020202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59CCD" w14:textId="77777777" w:rsidR="00986377" w:rsidRDefault="00986377">
      <w:r>
        <w:separator/>
      </w:r>
    </w:p>
  </w:footnote>
  <w:footnote w:type="continuationSeparator" w:id="0">
    <w:p w14:paraId="3C80291D" w14:textId="77777777" w:rsidR="00986377" w:rsidRDefault="009863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66D14" w14:textId="38C003A7" w:rsidR="009A2E92" w:rsidRPr="0032605D" w:rsidRDefault="00052B02" w:rsidP="00F86BC0">
    <w:pPr>
      <w:pStyle w:val="Heading3"/>
      <w:tabs>
        <w:tab w:val="left" w:pos="993"/>
        <w:tab w:val="right" w:pos="10530"/>
      </w:tabs>
      <w:spacing w:before="0" w:after="0"/>
      <w:rPr>
        <w:rFonts w:ascii="Trebuchet MS" w:hAnsi="Trebuchet MS"/>
        <w:color w:val="7030A0"/>
        <w:sz w:val="32"/>
        <w:szCs w:val="32"/>
      </w:rPr>
    </w:pPr>
    <w:r>
      <w:rPr>
        <w:noProof/>
      </w:rPr>
      <w:drawing>
        <wp:inline distT="0" distB="0" distL="0" distR="0" wp14:anchorId="29186CF9" wp14:editId="58600488">
          <wp:extent cx="5880100" cy="3086100"/>
          <wp:effectExtent l="165100" t="114300" r="190500" b="635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BEBA8EAE-BF5A-486C-A8C5-ECC9F3942E4B}">
                        <a14:imgProps xmlns:a14="http://schemas.microsoft.com/office/drawing/2010/main">
                          <a14:imgLayer r:embed="rId2">
                            <a14:imgEffect>
                              <a14:colorTemperature colorTemp="5300"/>
                            </a14:imgEffect>
                            <a14:imgEffect>
                              <a14:saturation sat="66000"/>
                            </a14:imgEffect>
                          </a14:imgLayer>
                        </a14:imgProps>
                      </a:ext>
                      <a:ext uri="{28A0092B-C50C-407E-A947-70E740481C1C}">
                        <a14:useLocalDpi xmlns:a14="http://schemas.microsoft.com/office/drawing/2010/main" val="0"/>
                      </a:ext>
                    </a:extLst>
                  </a:blip>
                  <a:stretch>
                    <a:fillRect/>
                  </a:stretch>
                </pic:blipFill>
                <pic:spPr>
                  <a:xfrm>
                    <a:off x="0" y="0"/>
                    <a:ext cx="5880100" cy="3086100"/>
                  </a:xfrm>
                  <a:prstGeom prst="rect">
                    <a:avLst/>
                  </a:prstGeom>
                  <a:ln>
                    <a:noFill/>
                  </a:ln>
                  <a:effectLst>
                    <a:outerShdw blurRad="190500" algn="tl" rotWithShape="0">
                      <a:srgbClr val="000000">
                        <a:alpha val="70000"/>
                      </a:srgbClr>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B7136"/>
    <w:multiLevelType w:val="hybridMultilevel"/>
    <w:tmpl w:val="D36A33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09480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434F"/>
    <w:rsid w:val="00050FE5"/>
    <w:rsid w:val="00052B02"/>
    <w:rsid w:val="0005374F"/>
    <w:rsid w:val="000C43FA"/>
    <w:rsid w:val="0015008C"/>
    <w:rsid w:val="00152F11"/>
    <w:rsid w:val="00155587"/>
    <w:rsid w:val="0016315D"/>
    <w:rsid w:val="001F666F"/>
    <w:rsid w:val="00210345"/>
    <w:rsid w:val="0021156C"/>
    <w:rsid w:val="00224966"/>
    <w:rsid w:val="002350BF"/>
    <w:rsid w:val="00293749"/>
    <w:rsid w:val="00296A4C"/>
    <w:rsid w:val="002B4B6A"/>
    <w:rsid w:val="002C434F"/>
    <w:rsid w:val="0032605D"/>
    <w:rsid w:val="00352044"/>
    <w:rsid w:val="003A79AE"/>
    <w:rsid w:val="003C61A0"/>
    <w:rsid w:val="003D7E91"/>
    <w:rsid w:val="004434D3"/>
    <w:rsid w:val="00491491"/>
    <w:rsid w:val="004C5B60"/>
    <w:rsid w:val="00542920"/>
    <w:rsid w:val="00572D81"/>
    <w:rsid w:val="005B437D"/>
    <w:rsid w:val="006336F7"/>
    <w:rsid w:val="00643486"/>
    <w:rsid w:val="00671582"/>
    <w:rsid w:val="006D2826"/>
    <w:rsid w:val="006D3121"/>
    <w:rsid w:val="006F0614"/>
    <w:rsid w:val="006F3B27"/>
    <w:rsid w:val="007239ED"/>
    <w:rsid w:val="00757798"/>
    <w:rsid w:val="007A0FC1"/>
    <w:rsid w:val="007A530C"/>
    <w:rsid w:val="007C3F50"/>
    <w:rsid w:val="007F0B09"/>
    <w:rsid w:val="00854166"/>
    <w:rsid w:val="00875C25"/>
    <w:rsid w:val="008A0534"/>
    <w:rsid w:val="008A0AD4"/>
    <w:rsid w:val="008B40F3"/>
    <w:rsid w:val="008B7F80"/>
    <w:rsid w:val="00915E68"/>
    <w:rsid w:val="00986377"/>
    <w:rsid w:val="009866B0"/>
    <w:rsid w:val="009A2E92"/>
    <w:rsid w:val="009B2E42"/>
    <w:rsid w:val="00A3382E"/>
    <w:rsid w:val="00A4658F"/>
    <w:rsid w:val="00B045DB"/>
    <w:rsid w:val="00BA60D6"/>
    <w:rsid w:val="00BA6199"/>
    <w:rsid w:val="00BC5C7F"/>
    <w:rsid w:val="00BC6621"/>
    <w:rsid w:val="00C11CA4"/>
    <w:rsid w:val="00C67BFE"/>
    <w:rsid w:val="00CE57CE"/>
    <w:rsid w:val="00D404D2"/>
    <w:rsid w:val="00D818D1"/>
    <w:rsid w:val="00D946FF"/>
    <w:rsid w:val="00E105A7"/>
    <w:rsid w:val="00E337B6"/>
    <w:rsid w:val="00E66E27"/>
    <w:rsid w:val="00EF4B16"/>
    <w:rsid w:val="00F00525"/>
    <w:rsid w:val="00F23E16"/>
    <w:rsid w:val="00F86BC0"/>
    <w:rsid w:val="00FA0479"/>
    <w:rsid w:val="00FA5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DBEDB7"/>
  <w15:docId w15:val="{738B6215-05A2-4918-8AD2-E3E493D0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omic Sans MS" w:hAnsi="Comic Sans MS"/>
    </w:rPr>
  </w:style>
  <w:style w:type="paragraph" w:styleId="Heading1">
    <w:name w:val="heading 1"/>
    <w:basedOn w:val="Normal"/>
    <w:next w:val="Normal"/>
    <w:qFormat/>
    <w:pPr>
      <w:keepNext/>
      <w:widowControl w:val="0"/>
      <w:outlineLvl w:val="0"/>
    </w:pPr>
    <w:rPr>
      <w:rFonts w:ascii="Arial" w:hAnsi="Arial"/>
      <w:b/>
      <w:snapToGrid w:val="0"/>
      <w:sz w:val="24"/>
    </w:rPr>
  </w:style>
  <w:style w:type="paragraph" w:styleId="Heading2">
    <w:name w:val="heading 2"/>
    <w:basedOn w:val="Normal"/>
    <w:next w:val="Normal"/>
    <w:qFormat/>
    <w:pPr>
      <w:keepNext/>
      <w:outlineLvl w:val="1"/>
    </w:pPr>
    <w:rPr>
      <w:rFonts w:ascii="Arial" w:hAnsi="Arial"/>
      <w:b/>
      <w:sz w:val="22"/>
    </w:rPr>
  </w:style>
  <w:style w:type="paragraph" w:styleId="Heading3">
    <w:name w:val="heading 3"/>
    <w:basedOn w:val="Normal"/>
    <w:next w:val="Normal"/>
    <w:qFormat/>
    <w:rsid w:val="004C5B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pPr>
    <w:rPr>
      <w:rFonts w:ascii="Arial" w:hAnsi="Arial"/>
      <w:b/>
      <w:snapToGrid w:val="0"/>
      <w:sz w:val="24"/>
    </w:rPr>
  </w:style>
  <w:style w:type="paragraph" w:styleId="BodyText2">
    <w:name w:val="Body Text 2"/>
    <w:basedOn w:val="Normal"/>
    <w:pPr>
      <w:widowControl w:val="0"/>
      <w:pBdr>
        <w:top w:val="single" w:sz="4" w:space="1" w:color="auto"/>
        <w:left w:val="single" w:sz="4" w:space="4" w:color="auto"/>
        <w:bottom w:val="single" w:sz="4" w:space="1" w:color="auto"/>
        <w:right w:val="single" w:sz="4" w:space="4" w:color="auto"/>
      </w:pBdr>
      <w:jc w:val="center"/>
    </w:pPr>
    <w:rPr>
      <w:rFonts w:ascii="Arial" w:hAnsi="Arial"/>
      <w:b/>
      <w:snapToGrid w:val="0"/>
      <w:sz w:val="24"/>
    </w:rPr>
  </w:style>
  <w:style w:type="paragraph" w:styleId="BodyText3">
    <w:name w:val="Body Text 3"/>
    <w:basedOn w:val="Normal"/>
    <w:rPr>
      <w:rFonts w:ascii="Arial" w:hAnsi="Arial"/>
      <w:sz w:val="24"/>
    </w:rPr>
  </w:style>
  <w:style w:type="paragraph" w:styleId="Header">
    <w:name w:val="header"/>
    <w:basedOn w:val="Normal"/>
    <w:rsid w:val="008B40F3"/>
    <w:pPr>
      <w:tabs>
        <w:tab w:val="center" w:pos="4320"/>
        <w:tab w:val="right" w:pos="8640"/>
      </w:tabs>
    </w:pPr>
  </w:style>
  <w:style w:type="paragraph" w:styleId="Footer">
    <w:name w:val="footer"/>
    <w:basedOn w:val="Normal"/>
    <w:rsid w:val="008B40F3"/>
    <w:pPr>
      <w:tabs>
        <w:tab w:val="center" w:pos="4320"/>
        <w:tab w:val="right" w:pos="8640"/>
      </w:tabs>
    </w:pPr>
  </w:style>
  <w:style w:type="character" w:styleId="Hyperlink">
    <w:name w:val="Hyperlink"/>
    <w:rsid w:val="00572D81"/>
    <w:rPr>
      <w:color w:val="0000FF"/>
      <w:u w:val="single"/>
    </w:rPr>
  </w:style>
  <w:style w:type="character" w:styleId="UnresolvedMention">
    <w:name w:val="Unresolved Mention"/>
    <w:basedOn w:val="DefaultParagraphFont"/>
    <w:uiPriority w:val="99"/>
    <w:semiHidden/>
    <w:unhideWhenUsed/>
    <w:rsid w:val="00052B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6508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hibits@shrm.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02285-9D87-EB4E-B78E-725E55AA7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788</Words>
  <Characters>4496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EXHIBIT REGULATIONS</vt:lpstr>
    </vt:vector>
  </TitlesOfParts>
  <Company>SHRM</Company>
  <LinksUpToDate>false</LinksUpToDate>
  <CharactersWithSpaces>5274</CharactersWithSpaces>
  <SharedDoc>false</SharedDoc>
  <HLinks>
    <vt:vector size="6" baseType="variant">
      <vt:variant>
        <vt:i4>458863</vt:i4>
      </vt:variant>
      <vt:variant>
        <vt:i4>0</vt:i4>
      </vt:variant>
      <vt:variant>
        <vt:i4>0</vt:i4>
      </vt:variant>
      <vt:variant>
        <vt:i4>5</vt:i4>
      </vt:variant>
      <vt:variant>
        <vt:lpwstr>mailto:Dennis.Rugbart@shrm.org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REGULATIONS</dc:title>
  <dc:creator>SHRM</dc:creator>
  <cp:lastModifiedBy>Erskine, Ruth-marie</cp:lastModifiedBy>
  <cp:revision>2</cp:revision>
  <cp:lastPrinted>2021-05-06T19:23:00Z</cp:lastPrinted>
  <dcterms:created xsi:type="dcterms:W3CDTF">2023-02-21T19:49:00Z</dcterms:created>
  <dcterms:modified xsi:type="dcterms:W3CDTF">2023-02-21T19:49:00Z</dcterms:modified>
</cp:coreProperties>
</file>