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DC5D8" w14:textId="7B797900" w:rsidR="00143599" w:rsidRPr="00143599" w:rsidRDefault="00143599" w:rsidP="0034792C">
      <w:pPr>
        <w:jc w:val="center"/>
      </w:pPr>
    </w:p>
    <w:tbl>
      <w:tblPr>
        <w:tblStyle w:val="TableGrid"/>
        <w:tblW w:w="11160" w:type="dxa"/>
        <w:tblInd w:w="-1175" w:type="dxa"/>
        <w:shd w:val="clear" w:color="auto" w:fill="E70E8A"/>
        <w:tblLook w:val="04A0" w:firstRow="1" w:lastRow="0" w:firstColumn="1" w:lastColumn="0" w:noHBand="0" w:noVBand="1"/>
      </w:tblPr>
      <w:tblGrid>
        <w:gridCol w:w="11160"/>
      </w:tblGrid>
      <w:tr w:rsidR="00143599" w:rsidRPr="00143599" w14:paraId="02C21140" w14:textId="77777777" w:rsidTr="0007132A">
        <w:tc>
          <w:tcPr>
            <w:tcW w:w="11160" w:type="dxa"/>
            <w:shd w:val="clear" w:color="auto" w:fill="E70E8A"/>
          </w:tcPr>
          <w:p w14:paraId="7E043715" w14:textId="7F08CD75" w:rsidR="00143599" w:rsidRPr="00244D5F" w:rsidRDefault="00143599" w:rsidP="0007132A">
            <w:pPr>
              <w:pStyle w:val="Heading1"/>
              <w:spacing w:before="0"/>
              <w:jc w:val="center"/>
              <w:rPr>
                <w:rFonts w:asciiTheme="minorHAnsi" w:hAnsiTheme="minorHAnsi" w:cstheme="minorHAnsi"/>
                <w:b/>
                <w:bCs/>
                <w:color w:val="1B3C69"/>
                <w:u w:val="single"/>
              </w:rPr>
            </w:pPr>
            <w:r w:rsidRPr="00244D5F">
              <w:rPr>
                <w:rFonts w:asciiTheme="minorHAnsi" w:hAnsiTheme="minorHAnsi" w:cstheme="minorHAnsi"/>
                <w:b/>
                <w:bCs/>
                <w:color w:val="FFFFFF" w:themeColor="background1"/>
                <w:u w:val="single"/>
              </w:rPr>
              <w:t>EXHIBIT BOOTH REGULATIONS</w:t>
            </w:r>
          </w:p>
        </w:tc>
      </w:tr>
    </w:tbl>
    <w:p w14:paraId="342D68B5" w14:textId="77777777" w:rsidR="00613138" w:rsidRPr="00143599" w:rsidRDefault="00613138" w:rsidP="00613138">
      <w:pPr>
        <w:rPr>
          <w:rFonts w:cstheme="minorHAnsi"/>
        </w:rPr>
      </w:pPr>
    </w:p>
    <w:p w14:paraId="4D16C26B" w14:textId="461FD3BB" w:rsidR="00613138" w:rsidRPr="00A26CC0" w:rsidRDefault="00613138" w:rsidP="009C1F67">
      <w:pPr>
        <w:jc w:val="both"/>
        <w:rPr>
          <w:rFonts w:cstheme="minorHAnsi"/>
          <w:sz w:val="22"/>
          <w:szCs w:val="22"/>
        </w:rPr>
      </w:pPr>
      <w:r w:rsidRPr="00A26CC0">
        <w:rPr>
          <w:rFonts w:cstheme="minorHAnsi"/>
          <w:sz w:val="22"/>
          <w:szCs w:val="22"/>
        </w:rPr>
        <w:t xml:space="preserve">SHRM Exhibitors are reminded to review the following booth definitions and rules to ensure their booth </w:t>
      </w:r>
      <w:r w:rsidR="009C1F67" w:rsidRPr="00A26CC0">
        <w:rPr>
          <w:rFonts w:cstheme="minorHAnsi"/>
          <w:sz w:val="22"/>
          <w:szCs w:val="22"/>
        </w:rPr>
        <w:t>is following</w:t>
      </w:r>
      <w:r w:rsidRPr="00A26CC0">
        <w:rPr>
          <w:rFonts w:cstheme="minorHAnsi"/>
          <w:sz w:val="22"/>
          <w:szCs w:val="22"/>
        </w:rPr>
        <w:t xml:space="preserve"> SHRM booth regulations.</w:t>
      </w:r>
    </w:p>
    <w:p w14:paraId="7D2D5477" w14:textId="77777777" w:rsidR="00613138" w:rsidRPr="00143599" w:rsidRDefault="00613138" w:rsidP="009C1F67">
      <w:pPr>
        <w:jc w:val="both"/>
        <w:rPr>
          <w:rFonts w:cstheme="minorHAnsi"/>
          <w:color w:val="1B3C69"/>
        </w:rPr>
      </w:pPr>
    </w:p>
    <w:tbl>
      <w:tblPr>
        <w:tblStyle w:val="TableGrid"/>
        <w:tblW w:w="11160" w:type="dxa"/>
        <w:tblInd w:w="-1175" w:type="dxa"/>
        <w:shd w:val="clear" w:color="auto" w:fill="E70E8A"/>
        <w:tblLook w:val="04A0" w:firstRow="1" w:lastRow="0" w:firstColumn="1" w:lastColumn="0" w:noHBand="0" w:noVBand="1"/>
      </w:tblPr>
      <w:tblGrid>
        <w:gridCol w:w="11160"/>
      </w:tblGrid>
      <w:tr w:rsidR="00143599" w:rsidRPr="00143599" w14:paraId="4F339F24" w14:textId="77777777" w:rsidTr="0007132A">
        <w:tc>
          <w:tcPr>
            <w:tcW w:w="11160" w:type="dxa"/>
            <w:shd w:val="clear" w:color="auto" w:fill="E70E8A"/>
          </w:tcPr>
          <w:p w14:paraId="39C82B58" w14:textId="45918D01" w:rsidR="00143599" w:rsidRPr="0007132A" w:rsidRDefault="00143599" w:rsidP="0007132A">
            <w:pPr>
              <w:pStyle w:val="Heading1"/>
              <w:spacing w:before="0"/>
              <w:jc w:val="center"/>
              <w:rPr>
                <w:rFonts w:asciiTheme="minorHAnsi" w:hAnsiTheme="minorHAnsi" w:cstheme="minorHAnsi"/>
                <w:b/>
                <w:bCs/>
                <w:color w:val="1B3C69"/>
                <w:sz w:val="28"/>
                <w:szCs w:val="28"/>
                <w:u w:val="single"/>
              </w:rPr>
            </w:pPr>
            <w:r w:rsidRPr="0007132A">
              <w:rPr>
                <w:rFonts w:asciiTheme="minorHAnsi" w:hAnsiTheme="minorHAnsi" w:cstheme="minorHAnsi"/>
                <w:b/>
                <w:bCs/>
                <w:color w:val="FFFFFF" w:themeColor="background1"/>
                <w:sz w:val="28"/>
                <w:szCs w:val="28"/>
                <w:u w:val="single"/>
              </w:rPr>
              <w:t>REQUIREMENTS FOR ALL EXHIBITORS</w:t>
            </w:r>
          </w:p>
        </w:tc>
      </w:tr>
    </w:tbl>
    <w:p w14:paraId="2E88E4BA" w14:textId="77777777" w:rsidR="00143599" w:rsidRPr="00143599" w:rsidRDefault="00143599" w:rsidP="009C1F67">
      <w:pPr>
        <w:jc w:val="both"/>
        <w:rPr>
          <w:rFonts w:cstheme="minorHAnsi"/>
          <w:color w:val="1B3C69"/>
        </w:rPr>
      </w:pPr>
    </w:p>
    <w:p w14:paraId="736D35CC" w14:textId="2320C1C9" w:rsidR="00613138" w:rsidRPr="0082270B" w:rsidRDefault="00613138" w:rsidP="00A26CC0">
      <w:pPr>
        <w:pStyle w:val="ListParagraph"/>
        <w:numPr>
          <w:ilvl w:val="0"/>
          <w:numId w:val="7"/>
        </w:numPr>
        <w:ind w:left="360"/>
        <w:jc w:val="both"/>
        <w:rPr>
          <w:rFonts w:cstheme="minorHAnsi"/>
          <w:b/>
          <w:bCs/>
          <w:color w:val="FF0000"/>
          <w:sz w:val="22"/>
          <w:szCs w:val="22"/>
        </w:rPr>
      </w:pPr>
      <w:r w:rsidRPr="0082270B">
        <w:rPr>
          <w:rFonts w:cstheme="minorHAnsi"/>
          <w:b/>
          <w:bCs/>
          <w:color w:val="FF0000"/>
          <w:sz w:val="22"/>
          <w:szCs w:val="22"/>
        </w:rPr>
        <w:t>SHRM does not allow End-Cap booths at events.</w:t>
      </w:r>
    </w:p>
    <w:p w14:paraId="3FB5C4DA" w14:textId="61B9DE12" w:rsidR="00613138" w:rsidRPr="00A26CC0" w:rsidRDefault="00613138" w:rsidP="00A26CC0">
      <w:pPr>
        <w:pStyle w:val="ListParagraph"/>
        <w:numPr>
          <w:ilvl w:val="0"/>
          <w:numId w:val="2"/>
        </w:numPr>
        <w:ind w:left="360" w:hanging="360"/>
        <w:jc w:val="both"/>
        <w:rPr>
          <w:rFonts w:cstheme="minorHAnsi"/>
          <w:color w:val="FF0000"/>
          <w:sz w:val="22"/>
          <w:szCs w:val="22"/>
        </w:rPr>
      </w:pPr>
      <w:r w:rsidRPr="00A26CC0">
        <w:rPr>
          <w:rFonts w:cstheme="minorHAnsi"/>
          <w:color w:val="FF0000"/>
          <w:sz w:val="22"/>
          <w:szCs w:val="22"/>
        </w:rPr>
        <w:t>No helium balloons or flying objects of any type will be allowed in the ex</w:t>
      </w:r>
      <w:r w:rsidR="006F51BF" w:rsidRPr="00A26CC0">
        <w:rPr>
          <w:rFonts w:cstheme="minorHAnsi"/>
          <w:color w:val="FF0000"/>
          <w:sz w:val="22"/>
          <w:szCs w:val="22"/>
        </w:rPr>
        <w:t>po</w:t>
      </w:r>
      <w:r w:rsidRPr="00A26CC0">
        <w:rPr>
          <w:rFonts w:cstheme="minorHAnsi"/>
          <w:color w:val="FF0000"/>
          <w:sz w:val="22"/>
          <w:szCs w:val="22"/>
        </w:rPr>
        <w:t xml:space="preserve"> hall.</w:t>
      </w:r>
    </w:p>
    <w:p w14:paraId="3B4DAED8" w14:textId="26D61100" w:rsidR="00613138" w:rsidRPr="00A26CC0" w:rsidRDefault="00613138" w:rsidP="00A26CC0">
      <w:pPr>
        <w:pStyle w:val="ListParagraph"/>
        <w:numPr>
          <w:ilvl w:val="0"/>
          <w:numId w:val="2"/>
        </w:numPr>
        <w:ind w:left="360" w:hanging="360"/>
        <w:jc w:val="both"/>
        <w:rPr>
          <w:rFonts w:cstheme="minorHAnsi"/>
          <w:color w:val="FF0000"/>
          <w:sz w:val="22"/>
          <w:szCs w:val="22"/>
        </w:rPr>
      </w:pPr>
      <w:r w:rsidRPr="00A26CC0">
        <w:rPr>
          <w:rFonts w:cstheme="minorHAnsi"/>
          <w:color w:val="FF0000"/>
          <w:sz w:val="22"/>
          <w:szCs w:val="22"/>
        </w:rPr>
        <w:t>Exhibitors will not be allowed to project images onto aisles, ceilings, walls or any space or location outside the Exhibitor’s purchased booth space.</w:t>
      </w:r>
    </w:p>
    <w:p w14:paraId="2E397188" w14:textId="4F166941" w:rsidR="00613138" w:rsidRDefault="00613138" w:rsidP="00A26CC0">
      <w:pPr>
        <w:pStyle w:val="ListParagraph"/>
        <w:numPr>
          <w:ilvl w:val="0"/>
          <w:numId w:val="2"/>
        </w:numPr>
        <w:ind w:left="360" w:hanging="360"/>
        <w:jc w:val="both"/>
        <w:rPr>
          <w:rFonts w:cstheme="minorHAnsi"/>
          <w:color w:val="FF0000"/>
          <w:sz w:val="22"/>
          <w:szCs w:val="22"/>
        </w:rPr>
      </w:pPr>
      <w:r w:rsidRPr="00A26CC0">
        <w:rPr>
          <w:rFonts w:cstheme="minorHAnsi"/>
          <w:color w:val="FF0000"/>
          <w:sz w:val="22"/>
          <w:szCs w:val="22"/>
        </w:rPr>
        <w:t xml:space="preserve">Exhibitors are required to provide flooring for the whole of their exhibit </w:t>
      </w:r>
      <w:r w:rsidR="009C1F67" w:rsidRPr="00A26CC0">
        <w:rPr>
          <w:rFonts w:cstheme="minorHAnsi"/>
          <w:color w:val="FF0000"/>
          <w:sz w:val="22"/>
          <w:szCs w:val="22"/>
        </w:rPr>
        <w:t>space.</w:t>
      </w:r>
    </w:p>
    <w:p w14:paraId="2382DF96" w14:textId="77777777" w:rsidR="005924B0" w:rsidRDefault="005924B0" w:rsidP="00A26CC0">
      <w:pPr>
        <w:pStyle w:val="Heading2"/>
        <w:ind w:left="-450"/>
        <w:rPr>
          <w:rFonts w:asciiTheme="minorHAnsi" w:hAnsiTheme="minorHAnsi" w:cstheme="minorHAnsi"/>
          <w:b/>
          <w:bCs/>
          <w:color w:val="auto"/>
          <w:sz w:val="32"/>
          <w:szCs w:val="32"/>
          <w:u w:val="single"/>
        </w:rPr>
      </w:pPr>
    </w:p>
    <w:p w14:paraId="07E54A26" w14:textId="339CDACE" w:rsidR="009C1F67" w:rsidRPr="0034792C" w:rsidRDefault="00613138" w:rsidP="00A26CC0">
      <w:pPr>
        <w:pStyle w:val="Heading2"/>
        <w:ind w:left="-450"/>
        <w:rPr>
          <w:rFonts w:asciiTheme="minorHAnsi" w:hAnsiTheme="minorHAnsi" w:cstheme="minorHAnsi"/>
          <w:b/>
          <w:bCs/>
          <w:color w:val="auto"/>
          <w:sz w:val="32"/>
          <w:szCs w:val="32"/>
          <w:u w:val="single"/>
        </w:rPr>
      </w:pPr>
      <w:r w:rsidRPr="0034792C">
        <w:rPr>
          <w:rFonts w:asciiTheme="minorHAnsi" w:hAnsiTheme="minorHAnsi" w:cstheme="minorHAnsi"/>
          <w:b/>
          <w:bCs/>
          <w:color w:val="auto"/>
          <w:sz w:val="32"/>
          <w:szCs w:val="32"/>
          <w:u w:val="single"/>
        </w:rPr>
        <w:t>BOOTH DEFINITIONS</w:t>
      </w:r>
    </w:p>
    <w:p w14:paraId="489644AD" w14:textId="2641762F" w:rsidR="00613138" w:rsidRPr="0034792C" w:rsidRDefault="00613138" w:rsidP="009C1F67">
      <w:pPr>
        <w:jc w:val="both"/>
        <w:rPr>
          <w:rFonts w:cstheme="minorHAnsi"/>
          <w:b/>
          <w:bCs/>
        </w:rPr>
      </w:pPr>
      <w:r w:rsidRPr="0034792C">
        <w:rPr>
          <w:rFonts w:cstheme="minorHAnsi"/>
          <w:b/>
          <w:bCs/>
        </w:rPr>
        <w:t>Standard or Corner and In-Line Booths:</w:t>
      </w:r>
    </w:p>
    <w:p w14:paraId="11C43EE7" w14:textId="77777777" w:rsidR="0082270B" w:rsidRDefault="00613138" w:rsidP="009C1F67">
      <w:pPr>
        <w:jc w:val="both"/>
        <w:rPr>
          <w:rFonts w:cstheme="minorHAnsi"/>
          <w:sz w:val="22"/>
          <w:szCs w:val="22"/>
        </w:rPr>
      </w:pPr>
      <w:r w:rsidRPr="00A26CC0">
        <w:rPr>
          <w:rFonts w:cstheme="minorHAnsi"/>
          <w:sz w:val="22"/>
          <w:szCs w:val="22"/>
        </w:rPr>
        <w:t>Any exhibit space that shares a common back wall and/or side with other exhibits and only one side exposed to aisle. These exhibit spaces can be purchased in a row to a make a 10</w:t>
      </w:r>
      <w:r w:rsidR="0082270B">
        <w:rPr>
          <w:rFonts w:cstheme="minorHAnsi"/>
          <w:sz w:val="22"/>
          <w:szCs w:val="22"/>
        </w:rPr>
        <w:t xml:space="preserve"> </w:t>
      </w:r>
      <w:r w:rsidRPr="00A26CC0">
        <w:rPr>
          <w:rFonts w:cstheme="minorHAnsi"/>
          <w:sz w:val="22"/>
          <w:szCs w:val="22"/>
        </w:rPr>
        <w:t>x</w:t>
      </w:r>
      <w:r w:rsidR="0082270B">
        <w:rPr>
          <w:rFonts w:cstheme="minorHAnsi"/>
          <w:sz w:val="22"/>
          <w:szCs w:val="22"/>
        </w:rPr>
        <w:t xml:space="preserve"> </w:t>
      </w:r>
      <w:r w:rsidRPr="00A26CC0">
        <w:rPr>
          <w:rFonts w:cstheme="minorHAnsi"/>
          <w:sz w:val="22"/>
          <w:szCs w:val="22"/>
        </w:rPr>
        <w:t>20, 10</w:t>
      </w:r>
      <w:r w:rsidR="0082270B">
        <w:rPr>
          <w:rFonts w:cstheme="minorHAnsi"/>
          <w:sz w:val="22"/>
          <w:szCs w:val="22"/>
        </w:rPr>
        <w:t xml:space="preserve"> </w:t>
      </w:r>
      <w:r w:rsidRPr="00A26CC0">
        <w:rPr>
          <w:rFonts w:cstheme="minorHAnsi"/>
          <w:sz w:val="22"/>
          <w:szCs w:val="22"/>
        </w:rPr>
        <w:t>x</w:t>
      </w:r>
      <w:r w:rsidR="0082270B">
        <w:rPr>
          <w:rFonts w:cstheme="minorHAnsi"/>
          <w:sz w:val="22"/>
          <w:szCs w:val="22"/>
        </w:rPr>
        <w:t xml:space="preserve"> </w:t>
      </w:r>
      <w:r w:rsidRPr="00A26CC0">
        <w:rPr>
          <w:rFonts w:cstheme="minorHAnsi"/>
          <w:sz w:val="22"/>
          <w:szCs w:val="22"/>
        </w:rPr>
        <w:t xml:space="preserve">30, etc. </w:t>
      </w:r>
    </w:p>
    <w:p w14:paraId="195AE1C9" w14:textId="77777777" w:rsidR="0082270B" w:rsidRDefault="0082270B" w:rsidP="009C1F67">
      <w:pPr>
        <w:jc w:val="both"/>
        <w:rPr>
          <w:rFonts w:cstheme="minorHAnsi"/>
          <w:sz w:val="22"/>
          <w:szCs w:val="22"/>
        </w:rPr>
      </w:pPr>
    </w:p>
    <w:p w14:paraId="47D58673" w14:textId="30ADDF43" w:rsidR="00613138" w:rsidRPr="00A26CC0" w:rsidRDefault="00613138" w:rsidP="009C1F67">
      <w:pPr>
        <w:jc w:val="both"/>
        <w:rPr>
          <w:rFonts w:cstheme="minorHAnsi"/>
          <w:b/>
          <w:bCs/>
          <w:sz w:val="22"/>
          <w:szCs w:val="22"/>
        </w:rPr>
      </w:pPr>
      <w:r w:rsidRPr="00A26CC0">
        <w:rPr>
          <w:rFonts w:cstheme="minorHAnsi"/>
          <w:sz w:val="22"/>
          <w:szCs w:val="22"/>
        </w:rPr>
        <w:t xml:space="preserve">Corner booths have at least one neighbor and are adjacent to an aisle or located at the end of an aisle or row of booths. In‐Line booths have one neighbor on either side of the booth. </w:t>
      </w:r>
      <w:r w:rsidRPr="00A26CC0">
        <w:rPr>
          <w:rFonts w:cstheme="minorHAnsi"/>
          <w:b/>
          <w:bCs/>
          <w:sz w:val="22"/>
          <w:szCs w:val="22"/>
        </w:rPr>
        <w:t>Standard 10’x10’ booths will be provided back drape and side drape which must be utilized.</w:t>
      </w:r>
    </w:p>
    <w:p w14:paraId="6593CF4E" w14:textId="26F426F8" w:rsidR="00613138" w:rsidRPr="00A26CC0" w:rsidRDefault="00613138" w:rsidP="000E09BF">
      <w:pPr>
        <w:pStyle w:val="ListParagraph"/>
        <w:numPr>
          <w:ilvl w:val="0"/>
          <w:numId w:val="7"/>
        </w:numPr>
        <w:jc w:val="both"/>
        <w:rPr>
          <w:rFonts w:cstheme="minorHAnsi"/>
          <w:color w:val="FF0000"/>
          <w:sz w:val="22"/>
          <w:szCs w:val="22"/>
        </w:rPr>
      </w:pPr>
      <w:r w:rsidRPr="00A26CC0">
        <w:rPr>
          <w:rFonts w:cstheme="minorHAnsi"/>
          <w:b/>
          <w:bCs/>
          <w:color w:val="FF0000"/>
          <w:sz w:val="22"/>
          <w:szCs w:val="22"/>
        </w:rPr>
        <w:t>Max height = 8’</w:t>
      </w:r>
      <w:r w:rsidRPr="00A26CC0">
        <w:rPr>
          <w:rFonts w:cstheme="minorHAnsi"/>
          <w:color w:val="FF0000"/>
          <w:sz w:val="22"/>
          <w:szCs w:val="22"/>
        </w:rPr>
        <w:t xml:space="preserve"> </w:t>
      </w:r>
      <w:r w:rsidRPr="0082270B">
        <w:rPr>
          <w:rFonts w:cstheme="minorHAnsi"/>
          <w:b/>
          <w:bCs/>
          <w:color w:val="FF0000"/>
          <w:sz w:val="22"/>
          <w:szCs w:val="22"/>
        </w:rPr>
        <w:t>- No exhibit construction or signage may exceed 8’ in overall height</w:t>
      </w:r>
    </w:p>
    <w:p w14:paraId="7284C1E5" w14:textId="37B83634" w:rsidR="00613138" w:rsidRPr="000E09BF" w:rsidRDefault="00613138" w:rsidP="000E09BF">
      <w:pPr>
        <w:pStyle w:val="ListParagraph"/>
        <w:numPr>
          <w:ilvl w:val="0"/>
          <w:numId w:val="7"/>
        </w:numPr>
        <w:jc w:val="both"/>
        <w:rPr>
          <w:rFonts w:cstheme="minorHAnsi"/>
          <w:color w:val="FF0000"/>
          <w:sz w:val="22"/>
          <w:szCs w:val="22"/>
        </w:rPr>
      </w:pPr>
      <w:r w:rsidRPr="000E09BF">
        <w:rPr>
          <w:rFonts w:cstheme="minorHAnsi"/>
          <w:color w:val="FF0000"/>
          <w:sz w:val="22"/>
          <w:szCs w:val="22"/>
        </w:rPr>
        <w:t>Hanging Signs: Not permitted</w:t>
      </w:r>
    </w:p>
    <w:p w14:paraId="6A0F50DF" w14:textId="12E96C35" w:rsidR="00613138" w:rsidRPr="000E09BF" w:rsidRDefault="00613138" w:rsidP="000E09BF">
      <w:pPr>
        <w:pStyle w:val="ListParagraph"/>
        <w:numPr>
          <w:ilvl w:val="0"/>
          <w:numId w:val="7"/>
        </w:numPr>
        <w:jc w:val="both"/>
        <w:rPr>
          <w:rFonts w:cstheme="minorHAnsi"/>
          <w:color w:val="FF0000"/>
          <w:sz w:val="22"/>
          <w:szCs w:val="22"/>
        </w:rPr>
      </w:pPr>
      <w:r w:rsidRPr="000E09BF">
        <w:rPr>
          <w:rFonts w:cstheme="minorHAnsi"/>
          <w:color w:val="FF0000"/>
          <w:sz w:val="22"/>
          <w:szCs w:val="22"/>
        </w:rPr>
        <w:t xml:space="preserve">All display material over 5 feet may not extend farther out than 5 feet from the back of the </w:t>
      </w:r>
      <w:r w:rsidR="009C1F67" w:rsidRPr="000E09BF">
        <w:rPr>
          <w:rFonts w:cstheme="minorHAnsi"/>
          <w:color w:val="FF0000"/>
          <w:sz w:val="22"/>
          <w:szCs w:val="22"/>
        </w:rPr>
        <w:t>booth.</w:t>
      </w:r>
    </w:p>
    <w:p w14:paraId="689E5D64" w14:textId="72E21BE2" w:rsidR="00613138" w:rsidRPr="000E09BF" w:rsidRDefault="00613138" w:rsidP="000E09BF">
      <w:pPr>
        <w:pStyle w:val="ListParagraph"/>
        <w:numPr>
          <w:ilvl w:val="0"/>
          <w:numId w:val="7"/>
        </w:numPr>
        <w:jc w:val="both"/>
        <w:rPr>
          <w:rFonts w:cstheme="minorHAnsi"/>
          <w:color w:val="FF0000"/>
          <w:sz w:val="22"/>
          <w:szCs w:val="22"/>
        </w:rPr>
      </w:pPr>
      <w:r w:rsidRPr="000E09BF">
        <w:rPr>
          <w:rFonts w:cstheme="minorHAnsi"/>
          <w:color w:val="FF0000"/>
          <w:sz w:val="22"/>
          <w:szCs w:val="22"/>
        </w:rPr>
        <w:t>Signage: Booth signage may not exceed 8’ in overall height.</w:t>
      </w:r>
    </w:p>
    <w:p w14:paraId="4EE772AC" w14:textId="77777777" w:rsidR="00A26CC0" w:rsidRPr="00A26CC0" w:rsidRDefault="00A26CC0" w:rsidP="00A26CC0">
      <w:pPr>
        <w:pStyle w:val="ListParagraph"/>
        <w:jc w:val="both"/>
        <w:rPr>
          <w:rFonts w:cstheme="minorHAnsi"/>
          <w:color w:val="1B3C69"/>
          <w:sz w:val="22"/>
          <w:szCs w:val="22"/>
        </w:rPr>
      </w:pPr>
    </w:p>
    <w:p w14:paraId="7E9763F1" w14:textId="64F8B779" w:rsidR="00613138" w:rsidRPr="00A26CC0" w:rsidRDefault="00613138" w:rsidP="00A26CC0">
      <w:pPr>
        <w:jc w:val="both"/>
        <w:rPr>
          <w:rFonts w:cstheme="minorHAnsi"/>
          <w:sz w:val="22"/>
          <w:szCs w:val="22"/>
        </w:rPr>
      </w:pPr>
      <w:r w:rsidRPr="00A26CC0">
        <w:rPr>
          <w:rFonts w:cstheme="minorHAnsi"/>
          <w:b/>
          <w:bCs/>
          <w:sz w:val="22"/>
          <w:szCs w:val="22"/>
        </w:rPr>
        <w:t>NOTE</w:t>
      </w:r>
      <w:r w:rsidRPr="00A26CC0">
        <w:rPr>
          <w:rFonts w:cstheme="minorHAnsi"/>
          <w:sz w:val="22"/>
          <w:szCs w:val="22"/>
        </w:rPr>
        <w:t>: If sidewalls</w:t>
      </w:r>
      <w:r w:rsidR="0082270B">
        <w:rPr>
          <w:rFonts w:cstheme="minorHAnsi"/>
          <w:sz w:val="22"/>
          <w:szCs w:val="22"/>
        </w:rPr>
        <w:t>/siderails</w:t>
      </w:r>
      <w:r w:rsidRPr="00A26CC0">
        <w:rPr>
          <w:rFonts w:cstheme="minorHAnsi"/>
          <w:sz w:val="22"/>
          <w:szCs w:val="22"/>
        </w:rPr>
        <w:t xml:space="preserve"> are utilized on in‐line booths, a </w:t>
      </w:r>
      <w:r w:rsidRPr="00A26CC0">
        <w:rPr>
          <w:rFonts w:cstheme="minorHAnsi"/>
          <w:b/>
          <w:bCs/>
          <w:sz w:val="22"/>
          <w:szCs w:val="22"/>
        </w:rPr>
        <w:t>maximum</w:t>
      </w:r>
      <w:r w:rsidRPr="00A26CC0">
        <w:rPr>
          <w:rFonts w:cstheme="minorHAnsi"/>
          <w:sz w:val="22"/>
          <w:szCs w:val="22"/>
        </w:rPr>
        <w:t xml:space="preserve"> </w:t>
      </w:r>
      <w:r w:rsidRPr="0082270B">
        <w:rPr>
          <w:rFonts w:cstheme="minorHAnsi"/>
          <w:b/>
          <w:bCs/>
          <w:sz w:val="22"/>
          <w:szCs w:val="22"/>
        </w:rPr>
        <w:t>height of 8’</w:t>
      </w:r>
      <w:r w:rsidRPr="00A26CC0">
        <w:rPr>
          <w:rFonts w:cstheme="minorHAnsi"/>
          <w:sz w:val="22"/>
          <w:szCs w:val="22"/>
        </w:rPr>
        <w:t xml:space="preserve"> is permitted on the back 5’ section and a </w:t>
      </w:r>
      <w:r w:rsidRPr="0082270B">
        <w:rPr>
          <w:rFonts w:cstheme="minorHAnsi"/>
          <w:b/>
          <w:bCs/>
          <w:sz w:val="22"/>
          <w:szCs w:val="22"/>
        </w:rPr>
        <w:t>maximum height of 4’</w:t>
      </w:r>
      <w:r w:rsidRPr="00A26CC0">
        <w:rPr>
          <w:rFonts w:cstheme="minorHAnsi"/>
          <w:sz w:val="22"/>
          <w:szCs w:val="22"/>
        </w:rPr>
        <w:t xml:space="preserve"> is permitted on the front 5’ section. These restrictions apply to any booth configuration that is </w:t>
      </w:r>
      <w:r w:rsidR="0082270B">
        <w:rPr>
          <w:rFonts w:cstheme="minorHAnsi"/>
          <w:sz w:val="22"/>
          <w:szCs w:val="22"/>
        </w:rPr>
        <w:t xml:space="preserve">standard </w:t>
      </w:r>
      <w:r w:rsidRPr="00A26CC0">
        <w:rPr>
          <w:rFonts w:cstheme="minorHAnsi"/>
          <w:sz w:val="22"/>
          <w:szCs w:val="22"/>
        </w:rPr>
        <w:t xml:space="preserve">and not an </w:t>
      </w:r>
      <w:r w:rsidR="00222EF0" w:rsidRPr="00A26CC0">
        <w:rPr>
          <w:rFonts w:cstheme="minorHAnsi"/>
          <w:sz w:val="22"/>
          <w:szCs w:val="22"/>
        </w:rPr>
        <w:t>island.</w:t>
      </w:r>
    </w:p>
    <w:p w14:paraId="32DF77FA" w14:textId="2A8879E4" w:rsidR="0007132A" w:rsidRDefault="0007132A" w:rsidP="00613138">
      <w:pPr>
        <w:jc w:val="both"/>
        <w:rPr>
          <w:rFonts w:cstheme="minorHAnsi"/>
          <w:b/>
          <w:bCs/>
          <w:color w:val="1B3C69"/>
        </w:rPr>
      </w:pPr>
    </w:p>
    <w:p w14:paraId="1FC4AD5E" w14:textId="77777777" w:rsidR="000E09BF" w:rsidRPr="000E09BF" w:rsidRDefault="000E09BF" w:rsidP="000E09BF">
      <w:pPr>
        <w:jc w:val="both"/>
        <w:rPr>
          <w:rFonts w:cstheme="minorHAnsi"/>
          <w:b/>
          <w:bCs/>
          <w:sz w:val="22"/>
          <w:szCs w:val="22"/>
        </w:rPr>
      </w:pPr>
      <w:r w:rsidRPr="000E09BF">
        <w:rPr>
          <w:rFonts w:cstheme="minorHAnsi"/>
          <w:b/>
          <w:bCs/>
          <w:sz w:val="22"/>
          <w:szCs w:val="22"/>
        </w:rPr>
        <w:t xml:space="preserve">Perimeter Booths: </w:t>
      </w:r>
    </w:p>
    <w:p w14:paraId="573BC278" w14:textId="77777777" w:rsidR="000E09BF" w:rsidRPr="000E09BF" w:rsidRDefault="000E09BF" w:rsidP="000E09BF">
      <w:pPr>
        <w:jc w:val="both"/>
        <w:rPr>
          <w:rFonts w:cstheme="minorHAnsi"/>
          <w:sz w:val="22"/>
          <w:szCs w:val="22"/>
        </w:rPr>
      </w:pPr>
      <w:r w:rsidRPr="000E09BF">
        <w:rPr>
          <w:rFonts w:cstheme="minorHAnsi"/>
          <w:sz w:val="22"/>
          <w:szCs w:val="22"/>
        </w:rPr>
        <w:t xml:space="preserve">Same as above and located on the perimeter (against a wall, etc.) of the exhibit floor. </w:t>
      </w:r>
    </w:p>
    <w:p w14:paraId="2AA04ED6" w14:textId="0A403735" w:rsidR="000E09BF" w:rsidRPr="000E09BF" w:rsidRDefault="000E09BF" w:rsidP="000E09BF">
      <w:pPr>
        <w:pStyle w:val="ListParagraph"/>
        <w:numPr>
          <w:ilvl w:val="0"/>
          <w:numId w:val="9"/>
        </w:numPr>
        <w:jc w:val="both"/>
        <w:rPr>
          <w:rFonts w:cstheme="minorHAnsi"/>
          <w:color w:val="FF0000"/>
          <w:sz w:val="22"/>
          <w:szCs w:val="22"/>
        </w:rPr>
      </w:pPr>
      <w:r w:rsidRPr="000E09BF">
        <w:rPr>
          <w:rFonts w:cstheme="minorHAnsi"/>
          <w:color w:val="FF0000"/>
          <w:sz w:val="22"/>
          <w:szCs w:val="22"/>
        </w:rPr>
        <w:t xml:space="preserve">Max height = 12’ ‐ No exhibit construction or signage may exceed 12’ in overall height </w:t>
      </w:r>
    </w:p>
    <w:p w14:paraId="62FD2807" w14:textId="77777777" w:rsidR="000E09BF" w:rsidRPr="000E09BF" w:rsidRDefault="000E09BF" w:rsidP="000E09BF">
      <w:pPr>
        <w:pStyle w:val="ListParagraph"/>
        <w:numPr>
          <w:ilvl w:val="0"/>
          <w:numId w:val="9"/>
        </w:numPr>
        <w:jc w:val="both"/>
        <w:rPr>
          <w:rFonts w:cstheme="minorHAnsi"/>
          <w:color w:val="FF0000"/>
          <w:sz w:val="22"/>
          <w:szCs w:val="22"/>
        </w:rPr>
      </w:pPr>
      <w:r w:rsidRPr="000E09BF">
        <w:rPr>
          <w:rFonts w:cstheme="minorHAnsi"/>
          <w:color w:val="FF0000"/>
          <w:sz w:val="22"/>
          <w:szCs w:val="22"/>
        </w:rPr>
        <w:t xml:space="preserve">Hanging Signs: Not permitted </w:t>
      </w:r>
    </w:p>
    <w:p w14:paraId="7B77FF25" w14:textId="2489AB07" w:rsidR="000E09BF" w:rsidRPr="000E09BF" w:rsidRDefault="000E09BF" w:rsidP="000E09BF">
      <w:pPr>
        <w:pStyle w:val="ListParagraph"/>
        <w:numPr>
          <w:ilvl w:val="0"/>
          <w:numId w:val="9"/>
        </w:numPr>
        <w:jc w:val="both"/>
        <w:rPr>
          <w:rFonts w:cstheme="minorHAnsi"/>
          <w:color w:val="FF0000"/>
          <w:sz w:val="22"/>
          <w:szCs w:val="22"/>
        </w:rPr>
      </w:pPr>
      <w:r w:rsidRPr="000E09BF">
        <w:rPr>
          <w:rFonts w:cstheme="minorHAnsi"/>
          <w:color w:val="FF0000"/>
          <w:sz w:val="22"/>
          <w:szCs w:val="22"/>
        </w:rPr>
        <w:t xml:space="preserve">All display material over 5 feet may not extend farther out than 5 feet from the back of the booth. </w:t>
      </w:r>
    </w:p>
    <w:p w14:paraId="4584165E" w14:textId="77777777" w:rsidR="000E09BF" w:rsidRPr="000E09BF" w:rsidRDefault="000E09BF" w:rsidP="000E09BF">
      <w:pPr>
        <w:pStyle w:val="ListParagraph"/>
        <w:numPr>
          <w:ilvl w:val="0"/>
          <w:numId w:val="9"/>
        </w:numPr>
        <w:jc w:val="both"/>
        <w:rPr>
          <w:rFonts w:cstheme="minorHAnsi"/>
          <w:color w:val="FF0000"/>
          <w:sz w:val="22"/>
          <w:szCs w:val="22"/>
        </w:rPr>
      </w:pPr>
      <w:r w:rsidRPr="000E09BF">
        <w:rPr>
          <w:rFonts w:cstheme="minorHAnsi"/>
          <w:color w:val="FF0000"/>
          <w:sz w:val="22"/>
          <w:szCs w:val="22"/>
        </w:rPr>
        <w:t xml:space="preserve">Signage: Booth signage may not exceed 12’ in overall height. </w:t>
      </w:r>
    </w:p>
    <w:p w14:paraId="42D60A49" w14:textId="77777777" w:rsidR="000E09BF" w:rsidRDefault="000E09BF" w:rsidP="00613138">
      <w:pPr>
        <w:jc w:val="both"/>
        <w:rPr>
          <w:rFonts w:cstheme="minorHAnsi"/>
          <w:b/>
          <w:bCs/>
          <w:color w:val="1B3C69"/>
        </w:rPr>
      </w:pPr>
    </w:p>
    <w:p w14:paraId="3222E05E" w14:textId="58A451B5" w:rsidR="008E4376" w:rsidRPr="0007132A" w:rsidRDefault="00613138" w:rsidP="00613138">
      <w:pPr>
        <w:jc w:val="both"/>
        <w:rPr>
          <w:rFonts w:cstheme="minorHAnsi"/>
          <w:b/>
          <w:bCs/>
        </w:rPr>
      </w:pPr>
      <w:r w:rsidRPr="0007132A">
        <w:rPr>
          <w:rFonts w:cstheme="minorHAnsi"/>
          <w:b/>
          <w:bCs/>
        </w:rPr>
        <w:t>Island Booths:</w:t>
      </w:r>
    </w:p>
    <w:p w14:paraId="3C6CA8F4" w14:textId="48CE6B38" w:rsidR="00613138" w:rsidRDefault="00613138" w:rsidP="00613138">
      <w:pPr>
        <w:jc w:val="both"/>
        <w:rPr>
          <w:rFonts w:cstheme="minorHAnsi"/>
          <w:sz w:val="22"/>
          <w:szCs w:val="22"/>
        </w:rPr>
      </w:pPr>
      <w:r w:rsidRPr="0007132A">
        <w:rPr>
          <w:rFonts w:cstheme="minorHAnsi"/>
          <w:sz w:val="22"/>
          <w:szCs w:val="22"/>
        </w:rPr>
        <w:t>An Exhibit booth with an aisle on all sides of the booth with no adjacent neighbor.</w:t>
      </w:r>
    </w:p>
    <w:p w14:paraId="1A0939A9" w14:textId="77777777" w:rsidR="000E09BF" w:rsidRDefault="000E09BF" w:rsidP="000E09BF">
      <w:pPr>
        <w:jc w:val="both"/>
        <w:rPr>
          <w:rFonts w:cstheme="minorHAnsi"/>
          <w:sz w:val="22"/>
          <w:szCs w:val="22"/>
        </w:rPr>
      </w:pPr>
    </w:p>
    <w:p w14:paraId="2F9A5B07" w14:textId="699BD362" w:rsidR="00613138" w:rsidRPr="000E09BF" w:rsidRDefault="00613138" w:rsidP="000E09BF">
      <w:pPr>
        <w:pStyle w:val="ListParagraph"/>
        <w:numPr>
          <w:ilvl w:val="0"/>
          <w:numId w:val="10"/>
        </w:numPr>
        <w:jc w:val="both"/>
        <w:rPr>
          <w:rFonts w:cstheme="minorHAnsi"/>
          <w:color w:val="FF0000"/>
          <w:sz w:val="22"/>
          <w:szCs w:val="22"/>
        </w:rPr>
      </w:pPr>
      <w:r w:rsidRPr="000E09BF">
        <w:rPr>
          <w:rFonts w:cstheme="minorHAnsi"/>
          <w:color w:val="FF0000"/>
          <w:sz w:val="22"/>
          <w:szCs w:val="22"/>
        </w:rPr>
        <w:t>Max height = 16’ - No exhibit construction or signage may exceed 16’ in overall height</w:t>
      </w:r>
    </w:p>
    <w:p w14:paraId="4FA2F2D5" w14:textId="271E99F2" w:rsidR="00613138" w:rsidRPr="000E09BF" w:rsidRDefault="00613138" w:rsidP="000E09BF">
      <w:pPr>
        <w:pStyle w:val="ListParagraph"/>
        <w:numPr>
          <w:ilvl w:val="0"/>
          <w:numId w:val="10"/>
        </w:numPr>
        <w:jc w:val="both"/>
        <w:rPr>
          <w:rFonts w:cstheme="minorHAnsi"/>
          <w:color w:val="FF0000"/>
          <w:sz w:val="22"/>
          <w:szCs w:val="22"/>
        </w:rPr>
      </w:pPr>
      <w:r w:rsidRPr="000E09BF">
        <w:rPr>
          <w:rFonts w:cstheme="minorHAnsi"/>
          <w:color w:val="FF0000"/>
          <w:sz w:val="22"/>
          <w:szCs w:val="22"/>
        </w:rPr>
        <w:t>Hanging Signs: Permitted</w:t>
      </w:r>
    </w:p>
    <w:p w14:paraId="394AC6AC" w14:textId="735843C5" w:rsidR="00613138" w:rsidRPr="000E09BF" w:rsidRDefault="00613138" w:rsidP="000E09BF">
      <w:pPr>
        <w:pStyle w:val="ListParagraph"/>
        <w:numPr>
          <w:ilvl w:val="0"/>
          <w:numId w:val="10"/>
        </w:numPr>
        <w:jc w:val="both"/>
        <w:rPr>
          <w:rFonts w:cstheme="minorHAnsi"/>
          <w:color w:val="FF0000"/>
          <w:sz w:val="22"/>
          <w:szCs w:val="22"/>
        </w:rPr>
      </w:pPr>
      <w:r w:rsidRPr="000E09BF">
        <w:rPr>
          <w:rFonts w:cstheme="minorHAnsi"/>
          <w:color w:val="FF0000"/>
          <w:sz w:val="22"/>
          <w:szCs w:val="22"/>
        </w:rPr>
        <w:t xml:space="preserve">Must be accessible from all four </w:t>
      </w:r>
      <w:r w:rsidR="009C1F67" w:rsidRPr="000E09BF">
        <w:rPr>
          <w:rFonts w:cstheme="minorHAnsi"/>
          <w:color w:val="FF0000"/>
          <w:sz w:val="22"/>
          <w:szCs w:val="22"/>
        </w:rPr>
        <w:t>sides.</w:t>
      </w:r>
    </w:p>
    <w:p w14:paraId="1D73CCC9" w14:textId="7E83EBF2" w:rsidR="000E09BF" w:rsidRPr="000E09BF" w:rsidRDefault="00613138" w:rsidP="000E09BF">
      <w:pPr>
        <w:pStyle w:val="ListParagraph"/>
        <w:numPr>
          <w:ilvl w:val="0"/>
          <w:numId w:val="10"/>
        </w:numPr>
        <w:jc w:val="both"/>
        <w:rPr>
          <w:rFonts w:cstheme="minorHAnsi"/>
          <w:b/>
          <w:bCs/>
          <w:color w:val="FF0000"/>
          <w:sz w:val="22"/>
          <w:szCs w:val="22"/>
        </w:rPr>
      </w:pPr>
      <w:r w:rsidRPr="000E09BF">
        <w:rPr>
          <w:rFonts w:cstheme="minorHAnsi"/>
          <w:b/>
          <w:bCs/>
          <w:color w:val="FF0000"/>
          <w:sz w:val="22"/>
          <w:szCs w:val="22"/>
        </w:rPr>
        <w:t>Signage: For exhibitors in island booths, the top of signage may not exceed 16’ from overall height</w:t>
      </w:r>
    </w:p>
    <w:p w14:paraId="37B553B7" w14:textId="15695133" w:rsidR="0034792C" w:rsidRPr="000E09BF" w:rsidRDefault="00613138" w:rsidP="004C346B">
      <w:pPr>
        <w:pStyle w:val="ListParagraph"/>
        <w:numPr>
          <w:ilvl w:val="0"/>
          <w:numId w:val="10"/>
        </w:numPr>
        <w:jc w:val="center"/>
        <w:rPr>
          <w:rFonts w:cstheme="minorHAnsi"/>
          <w:b/>
          <w:bCs/>
          <w:color w:val="FF0000"/>
          <w:sz w:val="22"/>
          <w:szCs w:val="22"/>
        </w:rPr>
      </w:pPr>
      <w:r w:rsidRPr="000E09BF">
        <w:rPr>
          <w:rFonts w:cstheme="minorHAnsi"/>
          <w:color w:val="FF0000"/>
          <w:sz w:val="22"/>
          <w:szCs w:val="22"/>
        </w:rPr>
        <w:t xml:space="preserve">Exhibitors are permitted to use the entire span of an island booth for display construction, signage, and product, </w:t>
      </w:r>
      <w:r w:rsidR="008E4376" w:rsidRPr="000E09BF">
        <w:rPr>
          <w:rFonts w:cstheme="minorHAnsi"/>
          <w:b/>
          <w:bCs/>
          <w:color w:val="FF0000"/>
          <w:sz w:val="22"/>
          <w:szCs w:val="22"/>
        </w:rPr>
        <w:t>if</w:t>
      </w:r>
      <w:r w:rsidRPr="000E09BF">
        <w:rPr>
          <w:rFonts w:cstheme="minorHAnsi"/>
          <w:b/>
          <w:bCs/>
          <w:color w:val="FF0000"/>
          <w:sz w:val="22"/>
          <w:szCs w:val="22"/>
        </w:rPr>
        <w:t xml:space="preserve"> no component exceeds 16’ in height.</w:t>
      </w:r>
    </w:p>
    <w:sectPr w:rsidR="0034792C" w:rsidRPr="000E09BF" w:rsidSect="00244D5F">
      <w:pgSz w:w="12240" w:h="15840"/>
      <w:pgMar w:top="756" w:right="1440" w:bottom="675" w:left="1710" w:header="720" w:footer="720" w:gutter="0"/>
      <w:pgBorders w:offsetFrom="page">
        <w:top w:val="thinThickSmallGap" w:sz="24" w:space="24" w:color="E70E8A"/>
        <w:left w:val="thinThickSmallGap" w:sz="24" w:space="24" w:color="E70E8A"/>
        <w:bottom w:val="thickThinSmallGap" w:sz="24" w:space="24" w:color="E70E8A"/>
        <w:right w:val="thickThinSmallGap" w:sz="24" w:space="24" w:color="E70E8A"/>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3FEE" w14:textId="77777777" w:rsidR="00C5504E" w:rsidRDefault="00C5504E" w:rsidP="0007132A">
      <w:r>
        <w:separator/>
      </w:r>
    </w:p>
  </w:endnote>
  <w:endnote w:type="continuationSeparator" w:id="0">
    <w:p w14:paraId="2F7FA34D" w14:textId="77777777" w:rsidR="00C5504E" w:rsidRDefault="00C5504E" w:rsidP="0007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0042" w14:textId="77777777" w:rsidR="00C5504E" w:rsidRDefault="00C5504E" w:rsidP="0007132A">
      <w:r>
        <w:separator/>
      </w:r>
    </w:p>
  </w:footnote>
  <w:footnote w:type="continuationSeparator" w:id="0">
    <w:p w14:paraId="37980698" w14:textId="77777777" w:rsidR="00C5504E" w:rsidRDefault="00C5504E" w:rsidP="0007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00F"/>
    <w:multiLevelType w:val="hybridMultilevel"/>
    <w:tmpl w:val="F2B80442"/>
    <w:lvl w:ilvl="0" w:tplc="8C18E2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5FEB"/>
    <w:multiLevelType w:val="hybridMultilevel"/>
    <w:tmpl w:val="B16ACAC6"/>
    <w:lvl w:ilvl="0" w:tplc="8C18E27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1B01FA"/>
    <w:multiLevelType w:val="hybridMultilevel"/>
    <w:tmpl w:val="EAE6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A5097"/>
    <w:multiLevelType w:val="hybridMultilevel"/>
    <w:tmpl w:val="E4ECF69C"/>
    <w:lvl w:ilvl="0" w:tplc="8C18E2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7C4005"/>
    <w:multiLevelType w:val="hybridMultilevel"/>
    <w:tmpl w:val="A35A2BDE"/>
    <w:lvl w:ilvl="0" w:tplc="8C18E2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F68F9"/>
    <w:multiLevelType w:val="hybridMultilevel"/>
    <w:tmpl w:val="D08E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D106B"/>
    <w:multiLevelType w:val="multilevel"/>
    <w:tmpl w:val="2B6E7A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A7E1D"/>
    <w:multiLevelType w:val="hybridMultilevel"/>
    <w:tmpl w:val="2D5A3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551720"/>
    <w:multiLevelType w:val="hybridMultilevel"/>
    <w:tmpl w:val="B8669114"/>
    <w:lvl w:ilvl="0" w:tplc="8C18E27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6D73D8"/>
    <w:multiLevelType w:val="hybridMultilevel"/>
    <w:tmpl w:val="E008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25288">
    <w:abstractNumId w:val="9"/>
  </w:num>
  <w:num w:numId="2" w16cid:durableId="116027654">
    <w:abstractNumId w:val="1"/>
  </w:num>
  <w:num w:numId="3" w16cid:durableId="207911949">
    <w:abstractNumId w:val="4"/>
  </w:num>
  <w:num w:numId="4" w16cid:durableId="1130249676">
    <w:abstractNumId w:val="0"/>
  </w:num>
  <w:num w:numId="5" w16cid:durableId="1789423379">
    <w:abstractNumId w:val="8"/>
  </w:num>
  <w:num w:numId="6" w16cid:durableId="770973685">
    <w:abstractNumId w:val="3"/>
  </w:num>
  <w:num w:numId="7" w16cid:durableId="222369935">
    <w:abstractNumId w:val="7"/>
  </w:num>
  <w:num w:numId="8" w16cid:durableId="147670862">
    <w:abstractNumId w:val="6"/>
  </w:num>
  <w:num w:numId="9" w16cid:durableId="1543059977">
    <w:abstractNumId w:val="2"/>
  </w:num>
  <w:num w:numId="10" w16cid:durableId="840659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38"/>
    <w:rsid w:val="0007132A"/>
    <w:rsid w:val="00084472"/>
    <w:rsid w:val="000E09BF"/>
    <w:rsid w:val="00137E15"/>
    <w:rsid w:val="00143599"/>
    <w:rsid w:val="00222EF0"/>
    <w:rsid w:val="00244D5F"/>
    <w:rsid w:val="002D2CE9"/>
    <w:rsid w:val="002F069A"/>
    <w:rsid w:val="00333AD8"/>
    <w:rsid w:val="0034792C"/>
    <w:rsid w:val="003E4F22"/>
    <w:rsid w:val="004A6982"/>
    <w:rsid w:val="005850BE"/>
    <w:rsid w:val="00585A5F"/>
    <w:rsid w:val="005924B0"/>
    <w:rsid w:val="005C22F7"/>
    <w:rsid w:val="00613138"/>
    <w:rsid w:val="00672F17"/>
    <w:rsid w:val="006F51BF"/>
    <w:rsid w:val="00746072"/>
    <w:rsid w:val="00753A00"/>
    <w:rsid w:val="00764C9C"/>
    <w:rsid w:val="0082270B"/>
    <w:rsid w:val="008A2707"/>
    <w:rsid w:val="008B1445"/>
    <w:rsid w:val="008E4376"/>
    <w:rsid w:val="009B6E34"/>
    <w:rsid w:val="009C1F67"/>
    <w:rsid w:val="00A26CC0"/>
    <w:rsid w:val="00B2376F"/>
    <w:rsid w:val="00BA4959"/>
    <w:rsid w:val="00C518BE"/>
    <w:rsid w:val="00C5504E"/>
    <w:rsid w:val="00C64260"/>
    <w:rsid w:val="00CE0CEF"/>
    <w:rsid w:val="00DC56ED"/>
    <w:rsid w:val="00F02FA7"/>
    <w:rsid w:val="00FC1340"/>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CBDA"/>
  <w15:chartTrackingRefBased/>
  <w15:docId w15:val="{DA9EF908-6107-CB4C-8643-7F4A5FCD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1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1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3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13138"/>
    <w:pPr>
      <w:ind w:left="720"/>
      <w:contextualSpacing/>
    </w:pPr>
  </w:style>
  <w:style w:type="paragraph" w:styleId="Subtitle">
    <w:name w:val="Subtitle"/>
    <w:basedOn w:val="Normal"/>
    <w:next w:val="Normal"/>
    <w:link w:val="SubtitleChar"/>
    <w:uiPriority w:val="11"/>
    <w:qFormat/>
    <w:rsid w:val="0061313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13138"/>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6131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13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13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4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32A"/>
    <w:pPr>
      <w:tabs>
        <w:tab w:val="center" w:pos="4680"/>
        <w:tab w:val="right" w:pos="9360"/>
      </w:tabs>
    </w:pPr>
  </w:style>
  <w:style w:type="character" w:customStyle="1" w:styleId="HeaderChar">
    <w:name w:val="Header Char"/>
    <w:basedOn w:val="DefaultParagraphFont"/>
    <w:link w:val="Header"/>
    <w:uiPriority w:val="99"/>
    <w:rsid w:val="0007132A"/>
  </w:style>
  <w:style w:type="paragraph" w:styleId="Footer">
    <w:name w:val="footer"/>
    <w:basedOn w:val="Normal"/>
    <w:link w:val="FooterChar"/>
    <w:uiPriority w:val="99"/>
    <w:unhideWhenUsed/>
    <w:rsid w:val="0007132A"/>
    <w:pPr>
      <w:tabs>
        <w:tab w:val="center" w:pos="4680"/>
        <w:tab w:val="right" w:pos="9360"/>
      </w:tabs>
    </w:pPr>
  </w:style>
  <w:style w:type="character" w:customStyle="1" w:styleId="FooterChar">
    <w:name w:val="Footer Char"/>
    <w:basedOn w:val="DefaultParagraphFont"/>
    <w:link w:val="Footer"/>
    <w:uiPriority w:val="99"/>
    <w:rsid w:val="0007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470657">
      <w:bodyDiv w:val="1"/>
      <w:marLeft w:val="0"/>
      <w:marRight w:val="0"/>
      <w:marTop w:val="0"/>
      <w:marBottom w:val="0"/>
      <w:divBdr>
        <w:top w:val="none" w:sz="0" w:space="0" w:color="auto"/>
        <w:left w:val="none" w:sz="0" w:space="0" w:color="auto"/>
        <w:bottom w:val="none" w:sz="0" w:space="0" w:color="auto"/>
        <w:right w:val="none" w:sz="0" w:space="0" w:color="auto"/>
      </w:divBdr>
      <w:divsChild>
        <w:div w:id="657226508">
          <w:marLeft w:val="0"/>
          <w:marRight w:val="0"/>
          <w:marTop w:val="0"/>
          <w:marBottom w:val="0"/>
          <w:divBdr>
            <w:top w:val="none" w:sz="0" w:space="0" w:color="auto"/>
            <w:left w:val="none" w:sz="0" w:space="0" w:color="auto"/>
            <w:bottom w:val="none" w:sz="0" w:space="0" w:color="auto"/>
            <w:right w:val="none" w:sz="0" w:space="0" w:color="auto"/>
          </w:divBdr>
          <w:divsChild>
            <w:div w:id="375476057">
              <w:marLeft w:val="0"/>
              <w:marRight w:val="0"/>
              <w:marTop w:val="0"/>
              <w:marBottom w:val="0"/>
              <w:divBdr>
                <w:top w:val="none" w:sz="0" w:space="0" w:color="auto"/>
                <w:left w:val="none" w:sz="0" w:space="0" w:color="auto"/>
                <w:bottom w:val="none" w:sz="0" w:space="0" w:color="auto"/>
                <w:right w:val="none" w:sz="0" w:space="0" w:color="auto"/>
              </w:divBdr>
              <w:divsChild>
                <w:div w:id="1880975851">
                  <w:marLeft w:val="0"/>
                  <w:marRight w:val="0"/>
                  <w:marTop w:val="0"/>
                  <w:marBottom w:val="0"/>
                  <w:divBdr>
                    <w:top w:val="none" w:sz="0" w:space="0" w:color="auto"/>
                    <w:left w:val="none" w:sz="0" w:space="0" w:color="auto"/>
                    <w:bottom w:val="none" w:sz="0" w:space="0" w:color="auto"/>
                    <w:right w:val="none" w:sz="0" w:space="0" w:color="auto"/>
                  </w:divBdr>
                  <w:divsChild>
                    <w:div w:id="9120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0535">
      <w:bodyDiv w:val="1"/>
      <w:marLeft w:val="0"/>
      <w:marRight w:val="0"/>
      <w:marTop w:val="0"/>
      <w:marBottom w:val="0"/>
      <w:divBdr>
        <w:top w:val="none" w:sz="0" w:space="0" w:color="auto"/>
        <w:left w:val="none" w:sz="0" w:space="0" w:color="auto"/>
        <w:bottom w:val="none" w:sz="0" w:space="0" w:color="auto"/>
        <w:right w:val="none" w:sz="0" w:space="0" w:color="auto"/>
      </w:divBdr>
      <w:divsChild>
        <w:div w:id="1645507147">
          <w:marLeft w:val="0"/>
          <w:marRight w:val="0"/>
          <w:marTop w:val="0"/>
          <w:marBottom w:val="0"/>
          <w:divBdr>
            <w:top w:val="none" w:sz="0" w:space="0" w:color="auto"/>
            <w:left w:val="none" w:sz="0" w:space="0" w:color="auto"/>
            <w:bottom w:val="none" w:sz="0" w:space="0" w:color="auto"/>
            <w:right w:val="none" w:sz="0" w:space="0" w:color="auto"/>
          </w:divBdr>
          <w:divsChild>
            <w:div w:id="607153385">
              <w:marLeft w:val="0"/>
              <w:marRight w:val="0"/>
              <w:marTop w:val="0"/>
              <w:marBottom w:val="0"/>
              <w:divBdr>
                <w:top w:val="none" w:sz="0" w:space="0" w:color="auto"/>
                <w:left w:val="none" w:sz="0" w:space="0" w:color="auto"/>
                <w:bottom w:val="none" w:sz="0" w:space="0" w:color="auto"/>
                <w:right w:val="none" w:sz="0" w:space="0" w:color="auto"/>
              </w:divBdr>
              <w:divsChild>
                <w:div w:id="711269425">
                  <w:marLeft w:val="0"/>
                  <w:marRight w:val="0"/>
                  <w:marTop w:val="0"/>
                  <w:marBottom w:val="0"/>
                  <w:divBdr>
                    <w:top w:val="none" w:sz="0" w:space="0" w:color="auto"/>
                    <w:left w:val="none" w:sz="0" w:space="0" w:color="auto"/>
                    <w:bottom w:val="none" w:sz="0" w:space="0" w:color="auto"/>
                    <w:right w:val="none" w:sz="0" w:space="0" w:color="auto"/>
                  </w:divBdr>
                  <w:divsChild>
                    <w:div w:id="6608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84451">
      <w:bodyDiv w:val="1"/>
      <w:marLeft w:val="0"/>
      <w:marRight w:val="0"/>
      <w:marTop w:val="0"/>
      <w:marBottom w:val="0"/>
      <w:divBdr>
        <w:top w:val="none" w:sz="0" w:space="0" w:color="auto"/>
        <w:left w:val="none" w:sz="0" w:space="0" w:color="auto"/>
        <w:bottom w:val="none" w:sz="0" w:space="0" w:color="auto"/>
        <w:right w:val="none" w:sz="0" w:space="0" w:color="auto"/>
      </w:divBdr>
      <w:divsChild>
        <w:div w:id="619725454">
          <w:marLeft w:val="0"/>
          <w:marRight w:val="0"/>
          <w:marTop w:val="0"/>
          <w:marBottom w:val="0"/>
          <w:divBdr>
            <w:top w:val="none" w:sz="0" w:space="0" w:color="auto"/>
            <w:left w:val="none" w:sz="0" w:space="0" w:color="auto"/>
            <w:bottom w:val="none" w:sz="0" w:space="0" w:color="auto"/>
            <w:right w:val="none" w:sz="0" w:space="0" w:color="auto"/>
          </w:divBdr>
          <w:divsChild>
            <w:div w:id="2019505430">
              <w:marLeft w:val="0"/>
              <w:marRight w:val="0"/>
              <w:marTop w:val="0"/>
              <w:marBottom w:val="0"/>
              <w:divBdr>
                <w:top w:val="none" w:sz="0" w:space="0" w:color="auto"/>
                <w:left w:val="none" w:sz="0" w:space="0" w:color="auto"/>
                <w:bottom w:val="none" w:sz="0" w:space="0" w:color="auto"/>
                <w:right w:val="none" w:sz="0" w:space="0" w:color="auto"/>
              </w:divBdr>
              <w:divsChild>
                <w:div w:id="900749458">
                  <w:marLeft w:val="0"/>
                  <w:marRight w:val="0"/>
                  <w:marTop w:val="0"/>
                  <w:marBottom w:val="0"/>
                  <w:divBdr>
                    <w:top w:val="none" w:sz="0" w:space="0" w:color="auto"/>
                    <w:left w:val="none" w:sz="0" w:space="0" w:color="auto"/>
                    <w:bottom w:val="none" w:sz="0" w:space="0" w:color="auto"/>
                    <w:right w:val="none" w:sz="0" w:space="0" w:color="auto"/>
                  </w:divBdr>
                  <w:divsChild>
                    <w:div w:id="4565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450ee3-5d09-4871-81ac-d2973d79ed2e}" enabled="1" method="Standard" siteId="{a80de9e1-27b6-44c9-87e5-011fb722a83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Ruth-marie</dc:creator>
  <cp:keywords/>
  <dc:description/>
  <cp:lastModifiedBy>Newman, Corey</cp:lastModifiedBy>
  <cp:revision>2</cp:revision>
  <dcterms:created xsi:type="dcterms:W3CDTF">2024-07-11T20:45:00Z</dcterms:created>
  <dcterms:modified xsi:type="dcterms:W3CDTF">2024-07-11T20:45:00Z</dcterms:modified>
</cp:coreProperties>
</file>